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76150512" w:rsidR="00E66558" w:rsidRDefault="009D71E8">
      <w:pPr>
        <w:pStyle w:val="Heading1"/>
      </w:pPr>
      <w:bookmarkStart w:id="0" w:name="_Toc400361362"/>
      <w:bookmarkStart w:id="1" w:name="_Toc443397153"/>
      <w:bookmarkStart w:id="2" w:name="_Toc357771638"/>
      <w:bookmarkStart w:id="3" w:name="_Toc346793416"/>
      <w:bookmarkStart w:id="4" w:name="_Toc328122777"/>
      <w:r w:rsidRPr="00251072">
        <w:rPr>
          <w:sz w:val="30"/>
          <w:szCs w:val="3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251072" w:rsidRPr="00251072">
        <w:rPr>
          <w:sz w:val="32"/>
          <w:szCs w:val="32"/>
        </w:rPr>
        <w:t>Holly Lodge Girls’ College</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53642E" w:rsidR="002940F3" w:rsidRDefault="00251072">
            <w:pPr>
              <w:pStyle w:val="TableRow"/>
            </w:pPr>
            <w:r>
              <w:t>1010</w:t>
            </w:r>
          </w:p>
        </w:tc>
      </w:tr>
      <w:tr w:rsidR="002940F3" w14:paraId="2A7D54BD"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4301117" w:rsidR="002940F3" w:rsidRDefault="00251072">
            <w:pPr>
              <w:pStyle w:val="TableRow"/>
            </w:pPr>
            <w:r>
              <w:t>50.4%</w:t>
            </w:r>
          </w:p>
        </w:tc>
      </w:tr>
      <w:tr w:rsidR="002940F3" w14:paraId="2A7D54C0"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A9D6B2" w14:textId="77777777" w:rsidR="002940F3" w:rsidRDefault="00251072">
            <w:pPr>
              <w:pStyle w:val="TableRow"/>
            </w:pPr>
            <w:r>
              <w:t>3 years</w:t>
            </w:r>
          </w:p>
          <w:p w14:paraId="2A7D54BF" w14:textId="55043C28" w:rsidR="00251072" w:rsidRDefault="00251072">
            <w:pPr>
              <w:pStyle w:val="TableRow"/>
            </w:pPr>
            <w:r>
              <w:t>2024/25 to 2027/28</w:t>
            </w:r>
          </w:p>
        </w:tc>
      </w:tr>
      <w:tr w:rsidR="002940F3" w14:paraId="2A7D54C3"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629479A" w:rsidR="002940F3" w:rsidRDefault="00251072">
            <w:pPr>
              <w:pStyle w:val="TableRow"/>
            </w:pPr>
            <w:r>
              <w:t>October 2024</w:t>
            </w:r>
          </w:p>
        </w:tc>
      </w:tr>
      <w:tr w:rsidR="002940F3" w14:paraId="2A7D54C6"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9A9CE4A" w:rsidR="002940F3" w:rsidRDefault="00251072">
            <w:pPr>
              <w:pStyle w:val="TableRow"/>
            </w:pPr>
            <w:r>
              <w:t>October 2025</w:t>
            </w:r>
          </w:p>
        </w:tc>
      </w:tr>
      <w:tr w:rsidR="002940F3" w14:paraId="2A7D54C9"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D1C36" w14:textId="0E41A083" w:rsidR="00251072" w:rsidRDefault="00251072" w:rsidP="00251072">
            <w:pPr>
              <w:pStyle w:val="TableRow"/>
            </w:pPr>
            <w:r>
              <w:t>Mr A Keen</w:t>
            </w:r>
          </w:p>
          <w:p w14:paraId="2A7D54C8" w14:textId="25824FD3" w:rsidR="002940F3" w:rsidRDefault="00251072" w:rsidP="00251072">
            <w:pPr>
              <w:pStyle w:val="TableRow"/>
            </w:pPr>
            <w:r>
              <w:t>(Head Teacher)</w:t>
            </w:r>
          </w:p>
        </w:tc>
      </w:tr>
      <w:tr w:rsidR="002940F3" w14:paraId="2A7D54CC"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532AFC" w14:textId="592B6530" w:rsidR="00251072" w:rsidRDefault="00251072" w:rsidP="00251072">
            <w:pPr>
              <w:pStyle w:val="TableRow"/>
              <w:ind w:left="0"/>
            </w:pPr>
            <w:r>
              <w:t>Mrs C McGorian</w:t>
            </w:r>
          </w:p>
          <w:p w14:paraId="2A7D54CB" w14:textId="3AB2116C" w:rsidR="002940F3" w:rsidRDefault="00251072">
            <w:pPr>
              <w:pStyle w:val="TableRow"/>
            </w:pPr>
            <w:r>
              <w:t>(Assistant Head Teacher)</w:t>
            </w:r>
          </w:p>
        </w:tc>
      </w:tr>
      <w:tr w:rsidR="002940F3" w14:paraId="2A7D54CF" w14:textId="77777777" w:rsidTr="00251072">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B5FABCE" w:rsidR="002940F3" w:rsidRDefault="00352EE0">
            <w:pPr>
              <w:pStyle w:val="TableRow"/>
            </w:pPr>
            <w:r>
              <w:t>Jamie Lewis (TBC)</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4D1D410" w:rsidR="00E66558" w:rsidRDefault="009D71E8">
            <w:pPr>
              <w:pStyle w:val="TableRow"/>
            </w:pPr>
            <w:r>
              <w:t>£</w:t>
            </w:r>
            <w:r w:rsidR="00B34EA4">
              <w:t>516,600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40FA887" w:rsidR="00E66558" w:rsidRDefault="009D71E8">
            <w:pPr>
              <w:pStyle w:val="TableRow"/>
            </w:pPr>
            <w:r>
              <w:t>£</w:t>
            </w:r>
            <w:r w:rsidR="00251072">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F695959" w:rsidR="00E66558" w:rsidRDefault="009D71E8">
            <w:pPr>
              <w:pStyle w:val="TableRow"/>
            </w:pPr>
            <w:r>
              <w:t>£</w:t>
            </w:r>
            <w:r w:rsidR="00251072">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011E1C0" w:rsidR="00E66558" w:rsidRDefault="009D71E8">
            <w:pPr>
              <w:pStyle w:val="TableRow"/>
            </w:pPr>
            <w:r>
              <w:t>£</w:t>
            </w:r>
            <w:r w:rsidR="00B34EA4">
              <w:t>516,600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8300" w14:textId="77777777" w:rsidR="00B34EA4" w:rsidRDefault="00B34EA4" w:rsidP="00B34EA4">
            <w:pPr>
              <w:ind w:left="360"/>
              <w:rPr>
                <w:sz w:val="22"/>
                <w:szCs w:val="22"/>
              </w:rPr>
            </w:pPr>
          </w:p>
          <w:p w14:paraId="0A30BE91" w14:textId="10A2FDC7" w:rsidR="00B34EA4" w:rsidRPr="00B34EA4" w:rsidRDefault="00B34EA4" w:rsidP="00B34EA4">
            <w:pPr>
              <w:ind w:left="360"/>
              <w:rPr>
                <w:sz w:val="22"/>
                <w:szCs w:val="22"/>
              </w:rPr>
            </w:pPr>
            <w:r w:rsidRPr="00B34EA4">
              <w:rPr>
                <w:sz w:val="22"/>
                <w:szCs w:val="22"/>
              </w:rPr>
              <w:t xml:space="preserve">Holly Lodge Girls’ College intention is for all of its students to be able to ‘Expect to Achieve’, irrespective of their background or the challenges they face. We aim for all students to make the best possible attainment and progress, across the curriculum so that they can successfully progress onto the next phase of their education. </w:t>
            </w:r>
          </w:p>
          <w:p w14:paraId="784A71DA" w14:textId="77777777" w:rsidR="00B34EA4" w:rsidRPr="00B34EA4" w:rsidRDefault="00B34EA4" w:rsidP="00B34EA4">
            <w:pPr>
              <w:ind w:left="360"/>
              <w:rPr>
                <w:sz w:val="22"/>
                <w:szCs w:val="22"/>
              </w:rPr>
            </w:pPr>
            <w:r w:rsidRPr="00B34EA4">
              <w:rPr>
                <w:sz w:val="22"/>
                <w:szCs w:val="22"/>
              </w:rPr>
              <w:t xml:space="preserve">Our overriding priority is to provide high quality teaching, focussed on high levels of challenge and targeted feedback, as this is proven to have the greatest impact on the attainment gap between disadvantaged students and their peers. Our goal is that disadvantaged students’ attainment and progress will be significantly improved and sustained alongside greater outcomes for their non-disadvantaged peers. </w:t>
            </w:r>
          </w:p>
          <w:p w14:paraId="1F20BD0C" w14:textId="77777777" w:rsidR="00B34EA4" w:rsidRPr="00B34EA4" w:rsidRDefault="00B34EA4" w:rsidP="00B34EA4">
            <w:pPr>
              <w:ind w:left="360"/>
              <w:rPr>
                <w:sz w:val="22"/>
                <w:szCs w:val="22"/>
              </w:rPr>
            </w:pPr>
            <w:r w:rsidRPr="00B34EA4">
              <w:rPr>
                <w:sz w:val="22"/>
                <w:szCs w:val="22"/>
              </w:rPr>
              <w:t xml:space="preserve">The focus of our Pupil Premium strategy is to support disadvantaged students to achieve these goals irrespective of their prior attainment at Key Stage 2, which requires a particular focus on whose are prior high achievers. </w:t>
            </w:r>
          </w:p>
          <w:p w14:paraId="278E3F9C" w14:textId="77777777" w:rsidR="00E66558" w:rsidRPr="00B34EA4" w:rsidRDefault="00B34EA4" w:rsidP="00B34EA4">
            <w:pPr>
              <w:ind w:left="360"/>
              <w:rPr>
                <w:sz w:val="22"/>
                <w:szCs w:val="22"/>
              </w:rPr>
            </w:pPr>
            <w:r w:rsidRPr="00B34EA4">
              <w:rPr>
                <w:sz w:val="22"/>
                <w:szCs w:val="22"/>
              </w:rPr>
              <w:t>Our strategy and support activities will also:</w:t>
            </w:r>
          </w:p>
          <w:p w14:paraId="7AB76BA7" w14:textId="77777777" w:rsidR="00B34EA4" w:rsidRPr="00B34EA4" w:rsidRDefault="00B34EA4" w:rsidP="00B34EA4">
            <w:pPr>
              <w:pStyle w:val="ListParagraph"/>
              <w:numPr>
                <w:ilvl w:val="0"/>
                <w:numId w:val="17"/>
              </w:numPr>
              <w:rPr>
                <w:sz w:val="22"/>
                <w:szCs w:val="22"/>
              </w:rPr>
            </w:pPr>
            <w:r w:rsidRPr="00B34EA4">
              <w:rPr>
                <w:sz w:val="22"/>
                <w:szCs w:val="22"/>
              </w:rPr>
              <w:t>Consider those students deemed vulnerable, such as those who have a social worker and young carers, regardless of them being disadvantaged or not. We will consider the challenges they face and how best to ensure they are able to overcome these.</w:t>
            </w:r>
          </w:p>
          <w:p w14:paraId="58883F23" w14:textId="77777777" w:rsidR="00B34EA4" w:rsidRPr="00B34EA4" w:rsidRDefault="00B34EA4" w:rsidP="00B34EA4">
            <w:pPr>
              <w:pStyle w:val="ListParagraph"/>
              <w:numPr>
                <w:ilvl w:val="0"/>
                <w:numId w:val="17"/>
              </w:numPr>
              <w:rPr>
                <w:i/>
                <w:iCs/>
                <w:sz w:val="22"/>
                <w:szCs w:val="22"/>
              </w:rPr>
            </w:pPr>
            <w:r w:rsidRPr="00B34EA4">
              <w:rPr>
                <w:sz w:val="22"/>
                <w:szCs w:val="22"/>
              </w:rPr>
              <w:t>Be integral to wider school plans for education recovery. Notably by engaging with the National Tutoring Programme for students whose education has been worst affected. This will include, where appropriate, non-disadvantaged students.</w:t>
            </w:r>
          </w:p>
          <w:p w14:paraId="6E691B6E" w14:textId="77777777" w:rsidR="00B34EA4" w:rsidRPr="00B34EA4" w:rsidRDefault="00B34EA4" w:rsidP="00B34EA4">
            <w:pPr>
              <w:rPr>
                <w:sz w:val="22"/>
                <w:szCs w:val="22"/>
              </w:rPr>
            </w:pPr>
            <w:r w:rsidRPr="00B34EA4">
              <w:rPr>
                <w:sz w:val="22"/>
                <w:szCs w:val="22"/>
              </w:rPr>
              <w:t>Our approach will be designed to respond to the common challenges and individual needs of disadvantages students. The approach we adopt will complement each other and support students to succeed. To ensure they are effective we will:</w:t>
            </w:r>
          </w:p>
          <w:p w14:paraId="4E1EA591" w14:textId="77777777" w:rsidR="00B34EA4" w:rsidRPr="00B34EA4" w:rsidRDefault="00B34EA4" w:rsidP="00B34EA4">
            <w:pPr>
              <w:pStyle w:val="ListParagraph"/>
              <w:numPr>
                <w:ilvl w:val="0"/>
                <w:numId w:val="18"/>
              </w:numPr>
              <w:rPr>
                <w:sz w:val="22"/>
                <w:szCs w:val="22"/>
              </w:rPr>
            </w:pPr>
            <w:r w:rsidRPr="00B34EA4">
              <w:rPr>
                <w:sz w:val="22"/>
                <w:szCs w:val="22"/>
              </w:rPr>
              <w:t>adopt a whole school approach where all staff are expected to take responsibility for disadvantaged students outcomes, as well as raise their expectations of themselves and what they can achieve.</w:t>
            </w:r>
          </w:p>
          <w:p w14:paraId="118747D5" w14:textId="77777777" w:rsidR="00B34EA4" w:rsidRPr="00B34EA4" w:rsidRDefault="00B34EA4" w:rsidP="00B34EA4">
            <w:pPr>
              <w:pStyle w:val="ListParagraph"/>
              <w:numPr>
                <w:ilvl w:val="0"/>
                <w:numId w:val="18"/>
              </w:numPr>
              <w:rPr>
                <w:sz w:val="22"/>
                <w:szCs w:val="22"/>
              </w:rPr>
            </w:pPr>
            <w:r w:rsidRPr="00B34EA4">
              <w:rPr>
                <w:sz w:val="22"/>
                <w:szCs w:val="22"/>
              </w:rPr>
              <w:t>act as early as possible to identify needs to cohorts and set appropriate intervention and support strategies</w:t>
            </w:r>
          </w:p>
          <w:p w14:paraId="0AB333BA" w14:textId="77777777" w:rsidR="00B34EA4" w:rsidRPr="00B34EA4" w:rsidRDefault="00B34EA4" w:rsidP="00B34EA4">
            <w:pPr>
              <w:pStyle w:val="ListParagraph"/>
              <w:numPr>
                <w:ilvl w:val="0"/>
                <w:numId w:val="18"/>
              </w:numPr>
              <w:rPr>
                <w:i/>
                <w:iCs/>
                <w:sz w:val="22"/>
                <w:szCs w:val="22"/>
              </w:rPr>
            </w:pPr>
            <w:r w:rsidRPr="00B34EA4">
              <w:rPr>
                <w:sz w:val="22"/>
                <w:szCs w:val="22"/>
              </w:rPr>
              <w:t>ensure disadvantaged students are challenged in the work that they are set and receive pertinent feedback to enable them to develop further understanding and make greater progress.</w:t>
            </w:r>
          </w:p>
          <w:p w14:paraId="2A7D54E9" w14:textId="630DBAB0" w:rsidR="00B34EA4" w:rsidRPr="00B34EA4" w:rsidRDefault="00B34EA4" w:rsidP="00B34EA4">
            <w:pPr>
              <w:pStyle w:val="ListParagraph"/>
              <w:numPr>
                <w:ilvl w:val="0"/>
                <w:numId w:val="18"/>
              </w:numPr>
              <w:rPr>
                <w:i/>
                <w:iCs/>
              </w:rPr>
            </w:pPr>
            <w:r w:rsidRPr="00B34EA4">
              <w:rPr>
                <w:sz w:val="22"/>
                <w:szCs w:val="22"/>
              </w:rPr>
              <w:t>measure the impact of intervention and support strategies. Evaluate the impact made and make changes or deploy further as appropriate.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755E2D" w:rsidRDefault="009D71E8">
            <w:pPr>
              <w:pStyle w:val="TableRow"/>
              <w:rPr>
                <w:sz w:val="22"/>
                <w:szCs w:val="22"/>
              </w:rPr>
            </w:pPr>
            <w:r w:rsidRPr="00755E2D">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E231" w14:textId="77777777" w:rsidR="00B34EA4" w:rsidRPr="00755E2D" w:rsidRDefault="00B34EA4">
            <w:pPr>
              <w:pStyle w:val="TableRowCentered"/>
              <w:jc w:val="left"/>
              <w:rPr>
                <w:sz w:val="22"/>
                <w:szCs w:val="22"/>
              </w:rPr>
            </w:pPr>
            <w:r w:rsidRPr="00755E2D">
              <w:rPr>
                <w:sz w:val="22"/>
                <w:szCs w:val="22"/>
              </w:rPr>
              <w:t>Assessments on entry to year 7 in the last 5 years indicate that:</w:t>
            </w:r>
          </w:p>
          <w:p w14:paraId="05FBA92F" w14:textId="77777777" w:rsidR="00B34EA4" w:rsidRPr="00DE6FFA" w:rsidRDefault="00B34EA4" w:rsidP="00B34EA4">
            <w:pPr>
              <w:pStyle w:val="TableRowCentered"/>
              <w:numPr>
                <w:ilvl w:val="0"/>
                <w:numId w:val="19"/>
              </w:numPr>
              <w:jc w:val="left"/>
              <w:rPr>
                <w:sz w:val="22"/>
                <w:szCs w:val="22"/>
              </w:rPr>
            </w:pPr>
            <w:r w:rsidRPr="00755E2D">
              <w:rPr>
                <w:sz w:val="22"/>
                <w:szCs w:val="22"/>
              </w:rPr>
              <w:t xml:space="preserve">between </w:t>
            </w:r>
            <w:r w:rsidRPr="00DE6FFA">
              <w:rPr>
                <w:sz w:val="22"/>
                <w:szCs w:val="22"/>
              </w:rPr>
              <w:t>23.8% – 44.5% of our disadvantaged students arrive below age-related expectations in maths which compares to 10.1% - 30.0% of their peers.</w:t>
            </w:r>
          </w:p>
          <w:p w14:paraId="4441C1D9" w14:textId="77777777" w:rsidR="00B34EA4" w:rsidRPr="00DE6FFA" w:rsidRDefault="00B34EA4" w:rsidP="00B34EA4">
            <w:pPr>
              <w:pStyle w:val="TableRowCentered"/>
              <w:numPr>
                <w:ilvl w:val="0"/>
                <w:numId w:val="19"/>
              </w:numPr>
              <w:jc w:val="left"/>
              <w:rPr>
                <w:sz w:val="22"/>
                <w:szCs w:val="22"/>
              </w:rPr>
            </w:pPr>
            <w:r w:rsidRPr="00DE6FFA">
              <w:rPr>
                <w:sz w:val="22"/>
                <w:szCs w:val="22"/>
              </w:rPr>
              <w:t>between 23.8% – 33.9% of our disadvantaged students arrive below age-related expectations in English which compares to 7.0% - 28.6% of their peers.</w:t>
            </w:r>
          </w:p>
          <w:p w14:paraId="2A7D54F1" w14:textId="43A67A5A" w:rsidR="00E66558" w:rsidRPr="00755E2D" w:rsidRDefault="00B34EA4">
            <w:pPr>
              <w:pStyle w:val="TableRowCentered"/>
              <w:jc w:val="left"/>
              <w:rPr>
                <w:sz w:val="22"/>
                <w:szCs w:val="22"/>
              </w:rPr>
            </w:pPr>
            <w:r w:rsidRPr="00755E2D">
              <w:rPr>
                <w:sz w:val="22"/>
                <w:szCs w:val="22"/>
              </w:rPr>
              <w:t>While previous internal assessments show that the gap in performance widens further throughout time in our school, our 2025 GCSE Progress 8 score shows a</w:t>
            </w:r>
            <w:r w:rsidR="003D1FFD" w:rsidRPr="00755E2D">
              <w:rPr>
                <w:sz w:val="22"/>
                <w:szCs w:val="22"/>
              </w:rPr>
              <w:t xml:space="preserve"> negligible gap of 0.04.</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755E2D" w:rsidRDefault="009D71E8">
            <w:pPr>
              <w:pStyle w:val="TableRow"/>
              <w:rPr>
                <w:sz w:val="22"/>
                <w:szCs w:val="22"/>
              </w:rPr>
            </w:pPr>
            <w:r w:rsidRPr="00755E2D">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E531" w14:textId="77777777" w:rsidR="00E66558" w:rsidRPr="00755E2D" w:rsidRDefault="003D1FFD">
            <w:pPr>
              <w:pStyle w:val="TableRowCentered"/>
              <w:jc w:val="left"/>
              <w:rPr>
                <w:sz w:val="22"/>
                <w:szCs w:val="22"/>
              </w:rPr>
            </w:pPr>
            <w:r w:rsidRPr="00755E2D">
              <w:rPr>
                <w:sz w:val="22"/>
                <w:szCs w:val="22"/>
              </w:rPr>
              <w:t>Reading age assessments for KS3 students indicate that disadvantaged students generally have lower levels of reading comprehension than peers. This impacts their progress in all subjects.</w:t>
            </w:r>
          </w:p>
          <w:p w14:paraId="13940AD2" w14:textId="77777777" w:rsidR="003D1FFD" w:rsidRPr="00755E2D" w:rsidRDefault="003D1FFD">
            <w:pPr>
              <w:pStyle w:val="TableRowCentered"/>
              <w:jc w:val="left"/>
              <w:rPr>
                <w:sz w:val="22"/>
                <w:szCs w:val="22"/>
              </w:rPr>
            </w:pPr>
          </w:p>
          <w:tbl>
            <w:tblPr>
              <w:tblStyle w:val="TableGrid"/>
              <w:tblW w:w="0" w:type="auto"/>
              <w:tblInd w:w="57" w:type="dxa"/>
              <w:tblLook w:val="04A0" w:firstRow="1" w:lastRow="0" w:firstColumn="1" w:lastColumn="0" w:noHBand="0" w:noVBand="1"/>
            </w:tblPr>
            <w:tblGrid>
              <w:gridCol w:w="2039"/>
              <w:gridCol w:w="1828"/>
              <w:gridCol w:w="1932"/>
              <w:gridCol w:w="1932"/>
            </w:tblGrid>
            <w:tr w:rsidR="003D1FFD" w:rsidRPr="00755E2D" w14:paraId="1CB914B2" w14:textId="77777777" w:rsidTr="003D1FFD">
              <w:tc>
                <w:tcPr>
                  <w:tcW w:w="2039" w:type="dxa"/>
                  <w:tcBorders>
                    <w:top w:val="nil"/>
                    <w:left w:val="nil"/>
                    <w:bottom w:val="single" w:sz="4" w:space="0" w:color="auto"/>
                    <w:right w:val="single" w:sz="4" w:space="0" w:color="auto"/>
                  </w:tcBorders>
                  <w:vAlign w:val="center"/>
                </w:tcPr>
                <w:p w14:paraId="7DB63602" w14:textId="77777777" w:rsidR="003D1FFD" w:rsidRPr="00755E2D" w:rsidRDefault="003D1FFD" w:rsidP="003D1FFD">
                  <w:pPr>
                    <w:pStyle w:val="TableRowCentered"/>
                    <w:ind w:left="0"/>
                    <w:rPr>
                      <w:sz w:val="22"/>
                      <w:szCs w:val="22"/>
                    </w:rPr>
                  </w:pPr>
                </w:p>
              </w:tc>
              <w:tc>
                <w:tcPr>
                  <w:tcW w:w="1828" w:type="dxa"/>
                  <w:tcBorders>
                    <w:left w:val="single" w:sz="4" w:space="0" w:color="auto"/>
                  </w:tcBorders>
                  <w:vAlign w:val="center"/>
                </w:tcPr>
                <w:p w14:paraId="5242E72F" w14:textId="024B5092" w:rsidR="003D1FFD" w:rsidRPr="00755E2D" w:rsidRDefault="003D1FFD" w:rsidP="003D1FFD">
                  <w:pPr>
                    <w:pStyle w:val="TableRowCentered"/>
                    <w:ind w:left="0"/>
                    <w:rPr>
                      <w:sz w:val="22"/>
                      <w:szCs w:val="22"/>
                    </w:rPr>
                  </w:pPr>
                  <w:r w:rsidRPr="00755E2D">
                    <w:rPr>
                      <w:sz w:val="22"/>
                      <w:szCs w:val="22"/>
                    </w:rPr>
                    <w:t>Year 7</w:t>
                  </w:r>
                </w:p>
              </w:tc>
              <w:tc>
                <w:tcPr>
                  <w:tcW w:w="1932" w:type="dxa"/>
                  <w:vAlign w:val="center"/>
                </w:tcPr>
                <w:p w14:paraId="6BABDB9A" w14:textId="297FD322" w:rsidR="003D1FFD" w:rsidRPr="00755E2D" w:rsidRDefault="003D1FFD" w:rsidP="003D1FFD">
                  <w:pPr>
                    <w:pStyle w:val="TableRowCentered"/>
                    <w:ind w:left="0"/>
                    <w:rPr>
                      <w:sz w:val="22"/>
                      <w:szCs w:val="22"/>
                    </w:rPr>
                  </w:pPr>
                  <w:r w:rsidRPr="00755E2D">
                    <w:rPr>
                      <w:sz w:val="22"/>
                      <w:szCs w:val="22"/>
                    </w:rPr>
                    <w:t>Year 8</w:t>
                  </w:r>
                </w:p>
              </w:tc>
              <w:tc>
                <w:tcPr>
                  <w:tcW w:w="1932" w:type="dxa"/>
                  <w:vAlign w:val="center"/>
                </w:tcPr>
                <w:p w14:paraId="3B148181" w14:textId="71ED6E17" w:rsidR="003D1FFD" w:rsidRPr="00755E2D" w:rsidRDefault="003D1FFD" w:rsidP="003D1FFD">
                  <w:pPr>
                    <w:pStyle w:val="TableRowCentered"/>
                    <w:ind w:left="0"/>
                    <w:rPr>
                      <w:sz w:val="22"/>
                      <w:szCs w:val="22"/>
                    </w:rPr>
                  </w:pPr>
                  <w:r w:rsidRPr="00755E2D">
                    <w:rPr>
                      <w:sz w:val="22"/>
                      <w:szCs w:val="22"/>
                    </w:rPr>
                    <w:t>Year 9</w:t>
                  </w:r>
                </w:p>
              </w:tc>
            </w:tr>
            <w:tr w:rsidR="003D1FFD" w:rsidRPr="00755E2D" w14:paraId="718B576A" w14:textId="77777777" w:rsidTr="00DE6FFA">
              <w:tc>
                <w:tcPr>
                  <w:tcW w:w="2039" w:type="dxa"/>
                  <w:tcBorders>
                    <w:top w:val="single" w:sz="4" w:space="0" w:color="auto"/>
                  </w:tcBorders>
                  <w:shd w:val="clear" w:color="auto" w:fill="auto"/>
                  <w:vAlign w:val="center"/>
                </w:tcPr>
                <w:p w14:paraId="035BBA8C" w14:textId="74370213" w:rsidR="003D1FFD" w:rsidRPr="00755E2D" w:rsidRDefault="003D1FFD" w:rsidP="003D1FFD">
                  <w:pPr>
                    <w:pStyle w:val="TableRowCentered"/>
                    <w:ind w:left="0"/>
                    <w:rPr>
                      <w:sz w:val="22"/>
                      <w:szCs w:val="22"/>
                    </w:rPr>
                  </w:pPr>
                  <w:r w:rsidRPr="00755E2D">
                    <w:rPr>
                      <w:sz w:val="22"/>
                      <w:szCs w:val="22"/>
                    </w:rPr>
                    <w:t>PP Students</w:t>
                  </w:r>
                </w:p>
              </w:tc>
              <w:tc>
                <w:tcPr>
                  <w:tcW w:w="1828" w:type="dxa"/>
                  <w:shd w:val="clear" w:color="auto" w:fill="auto"/>
                  <w:vAlign w:val="center"/>
                </w:tcPr>
                <w:p w14:paraId="71104414" w14:textId="77777777" w:rsidR="003D1FFD" w:rsidRPr="00DE6FFA" w:rsidRDefault="003D1FFD" w:rsidP="003D1FFD">
                  <w:pPr>
                    <w:pStyle w:val="TableRowCentered"/>
                    <w:ind w:left="0"/>
                    <w:rPr>
                      <w:sz w:val="22"/>
                      <w:szCs w:val="22"/>
                    </w:rPr>
                  </w:pPr>
                </w:p>
              </w:tc>
              <w:tc>
                <w:tcPr>
                  <w:tcW w:w="1932" w:type="dxa"/>
                  <w:shd w:val="clear" w:color="auto" w:fill="auto"/>
                  <w:vAlign w:val="center"/>
                </w:tcPr>
                <w:p w14:paraId="1810AE73" w14:textId="77777777" w:rsidR="003D1FFD" w:rsidRPr="00DE6FFA" w:rsidRDefault="003D1FFD" w:rsidP="003D1FFD">
                  <w:pPr>
                    <w:pStyle w:val="TableRowCentered"/>
                    <w:ind w:left="0"/>
                    <w:rPr>
                      <w:sz w:val="22"/>
                      <w:szCs w:val="22"/>
                    </w:rPr>
                  </w:pPr>
                </w:p>
              </w:tc>
              <w:tc>
                <w:tcPr>
                  <w:tcW w:w="1932" w:type="dxa"/>
                  <w:shd w:val="clear" w:color="auto" w:fill="auto"/>
                  <w:vAlign w:val="center"/>
                </w:tcPr>
                <w:p w14:paraId="53013CEE" w14:textId="77777777" w:rsidR="003D1FFD" w:rsidRPr="00DE6FFA" w:rsidRDefault="003D1FFD" w:rsidP="003D1FFD">
                  <w:pPr>
                    <w:pStyle w:val="TableRowCentered"/>
                    <w:ind w:left="0"/>
                    <w:rPr>
                      <w:sz w:val="22"/>
                      <w:szCs w:val="22"/>
                    </w:rPr>
                  </w:pPr>
                </w:p>
              </w:tc>
            </w:tr>
            <w:tr w:rsidR="003D1FFD" w:rsidRPr="00755E2D" w14:paraId="4CE2FC9B" w14:textId="77777777" w:rsidTr="00DE6FFA">
              <w:tc>
                <w:tcPr>
                  <w:tcW w:w="2039" w:type="dxa"/>
                  <w:shd w:val="clear" w:color="auto" w:fill="auto"/>
                  <w:vAlign w:val="center"/>
                </w:tcPr>
                <w:p w14:paraId="09A57F5D" w14:textId="0201AA7C" w:rsidR="003D1FFD" w:rsidRPr="00755E2D" w:rsidRDefault="003D1FFD" w:rsidP="003D1FFD">
                  <w:pPr>
                    <w:pStyle w:val="TableRowCentered"/>
                    <w:ind w:left="0"/>
                    <w:rPr>
                      <w:sz w:val="22"/>
                      <w:szCs w:val="22"/>
                    </w:rPr>
                  </w:pPr>
                  <w:r w:rsidRPr="00755E2D">
                    <w:rPr>
                      <w:sz w:val="22"/>
                      <w:szCs w:val="22"/>
                    </w:rPr>
                    <w:t>nonPP Students</w:t>
                  </w:r>
                </w:p>
              </w:tc>
              <w:tc>
                <w:tcPr>
                  <w:tcW w:w="1828" w:type="dxa"/>
                  <w:shd w:val="clear" w:color="auto" w:fill="auto"/>
                  <w:vAlign w:val="center"/>
                </w:tcPr>
                <w:p w14:paraId="2D13BE05" w14:textId="77777777" w:rsidR="003D1FFD" w:rsidRPr="00DE6FFA" w:rsidRDefault="003D1FFD" w:rsidP="003D1FFD">
                  <w:pPr>
                    <w:pStyle w:val="TableRowCentered"/>
                    <w:ind w:left="0"/>
                    <w:rPr>
                      <w:sz w:val="22"/>
                      <w:szCs w:val="22"/>
                    </w:rPr>
                  </w:pPr>
                </w:p>
              </w:tc>
              <w:tc>
                <w:tcPr>
                  <w:tcW w:w="1932" w:type="dxa"/>
                  <w:shd w:val="clear" w:color="auto" w:fill="auto"/>
                  <w:vAlign w:val="center"/>
                </w:tcPr>
                <w:p w14:paraId="696D983C" w14:textId="77777777" w:rsidR="003D1FFD" w:rsidRPr="00DE6FFA" w:rsidRDefault="003D1FFD" w:rsidP="003D1FFD">
                  <w:pPr>
                    <w:pStyle w:val="TableRowCentered"/>
                    <w:ind w:left="0"/>
                    <w:rPr>
                      <w:sz w:val="22"/>
                      <w:szCs w:val="22"/>
                    </w:rPr>
                  </w:pPr>
                </w:p>
              </w:tc>
              <w:tc>
                <w:tcPr>
                  <w:tcW w:w="1932" w:type="dxa"/>
                  <w:shd w:val="clear" w:color="auto" w:fill="auto"/>
                  <w:vAlign w:val="center"/>
                </w:tcPr>
                <w:p w14:paraId="2C762E82" w14:textId="77777777" w:rsidR="003D1FFD" w:rsidRPr="00DE6FFA" w:rsidRDefault="003D1FFD" w:rsidP="003D1FFD">
                  <w:pPr>
                    <w:pStyle w:val="TableRowCentered"/>
                    <w:ind w:left="0"/>
                    <w:rPr>
                      <w:sz w:val="22"/>
                      <w:szCs w:val="22"/>
                    </w:rPr>
                  </w:pPr>
                </w:p>
              </w:tc>
            </w:tr>
          </w:tbl>
          <w:p w14:paraId="7CBB0325" w14:textId="77777777" w:rsidR="003D1FFD" w:rsidRPr="00755E2D" w:rsidRDefault="003D1FFD">
            <w:pPr>
              <w:pStyle w:val="TableRowCentered"/>
              <w:jc w:val="left"/>
              <w:rPr>
                <w:sz w:val="22"/>
                <w:szCs w:val="22"/>
              </w:rPr>
            </w:pPr>
          </w:p>
          <w:p w14:paraId="2A7D54F4" w14:textId="6DF8D64A" w:rsidR="003D1FFD" w:rsidRPr="00755E2D" w:rsidRDefault="003D1FFD" w:rsidP="00DE6FFA">
            <w:pPr>
              <w:pStyle w:val="TableRowCentered"/>
              <w:jc w:val="left"/>
              <w:rPr>
                <w:sz w:val="22"/>
                <w:szCs w:val="22"/>
              </w:rPr>
            </w:pPr>
            <w:r w:rsidRPr="00755E2D">
              <w:rPr>
                <w:sz w:val="22"/>
                <w:szCs w:val="22"/>
              </w:rPr>
              <w:t xml:space="preserve">On entry to year 7 in 2024, </w:t>
            </w:r>
            <w:r w:rsidR="00DE6FFA">
              <w:rPr>
                <w:sz w:val="22"/>
                <w:szCs w:val="22"/>
              </w:rPr>
              <w:t>(TBC)</w:t>
            </w:r>
            <w:r w:rsidRPr="00DE6FFA">
              <w:rPr>
                <w:sz w:val="22"/>
                <w:szCs w:val="22"/>
              </w:rPr>
              <w:t xml:space="preserve">% of our disadvantaged pupils arrive below age-related expectations compared to </w:t>
            </w:r>
            <w:r w:rsidR="00DE6FFA">
              <w:rPr>
                <w:sz w:val="22"/>
                <w:szCs w:val="22"/>
              </w:rPr>
              <w:t>(TBC)</w:t>
            </w:r>
            <w:r w:rsidRPr="00DE6FFA">
              <w:rPr>
                <w:sz w:val="22"/>
                <w:szCs w:val="22"/>
              </w:rPr>
              <w:t>%</w:t>
            </w:r>
            <w:r w:rsidRPr="00755E2D">
              <w:rPr>
                <w:sz w:val="22"/>
                <w:szCs w:val="22"/>
              </w:rPr>
              <w:t xml:space="preserve"> of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755E2D" w:rsidRDefault="009D71E8">
            <w:pPr>
              <w:pStyle w:val="TableRow"/>
              <w:rPr>
                <w:sz w:val="22"/>
                <w:szCs w:val="22"/>
              </w:rPr>
            </w:pPr>
            <w:r w:rsidRPr="00755E2D">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6BA7" w14:textId="3088920A" w:rsidR="003D1FFD" w:rsidRPr="00755E2D" w:rsidRDefault="003D1FFD">
            <w:pPr>
              <w:pStyle w:val="TableRowCentered"/>
              <w:jc w:val="left"/>
              <w:rPr>
                <w:sz w:val="22"/>
                <w:szCs w:val="22"/>
              </w:rPr>
            </w:pPr>
            <w:r w:rsidRPr="00755E2D">
              <w:rPr>
                <w:sz w:val="22"/>
                <w:szCs w:val="22"/>
              </w:rPr>
              <w:t>Our attendance data for current year groups shows that attendance among disadvantaged students has been between 2% and 9% lower than for non-disadvantaged students.</w:t>
            </w:r>
          </w:p>
          <w:tbl>
            <w:tblPr>
              <w:tblStyle w:val="TableGrid"/>
              <w:tblW w:w="0" w:type="auto"/>
              <w:tblInd w:w="57" w:type="dxa"/>
              <w:tblLook w:val="04A0" w:firstRow="1" w:lastRow="0" w:firstColumn="1" w:lastColumn="0" w:noHBand="0" w:noVBand="1"/>
            </w:tblPr>
            <w:tblGrid>
              <w:gridCol w:w="1296"/>
              <w:gridCol w:w="1286"/>
              <w:gridCol w:w="1287"/>
              <w:gridCol w:w="1287"/>
              <w:gridCol w:w="1287"/>
              <w:gridCol w:w="1288"/>
            </w:tblGrid>
            <w:tr w:rsidR="00633BB1" w:rsidRPr="00755E2D" w14:paraId="4B052B86" w14:textId="77777777" w:rsidTr="00633BB1">
              <w:tc>
                <w:tcPr>
                  <w:tcW w:w="1297" w:type="dxa"/>
                  <w:tcBorders>
                    <w:top w:val="nil"/>
                    <w:left w:val="nil"/>
                    <w:bottom w:val="single" w:sz="4" w:space="0" w:color="auto"/>
                    <w:right w:val="single" w:sz="4" w:space="0" w:color="auto"/>
                  </w:tcBorders>
                  <w:vAlign w:val="center"/>
                </w:tcPr>
                <w:p w14:paraId="5F07E3E2" w14:textId="77777777" w:rsidR="00633BB1" w:rsidRPr="00755E2D" w:rsidRDefault="00633BB1" w:rsidP="00633BB1">
                  <w:pPr>
                    <w:pStyle w:val="TableRowCentered"/>
                    <w:ind w:left="0"/>
                    <w:rPr>
                      <w:sz w:val="22"/>
                      <w:szCs w:val="22"/>
                    </w:rPr>
                  </w:pPr>
                </w:p>
              </w:tc>
              <w:tc>
                <w:tcPr>
                  <w:tcW w:w="1297" w:type="dxa"/>
                  <w:tcBorders>
                    <w:left w:val="single" w:sz="4" w:space="0" w:color="auto"/>
                  </w:tcBorders>
                  <w:vAlign w:val="center"/>
                </w:tcPr>
                <w:p w14:paraId="4CBE3AA1" w14:textId="6C7AC44E" w:rsidR="00633BB1" w:rsidRPr="00755E2D" w:rsidRDefault="00633BB1" w:rsidP="00633BB1">
                  <w:pPr>
                    <w:pStyle w:val="TableRowCentered"/>
                    <w:ind w:left="0"/>
                    <w:rPr>
                      <w:sz w:val="22"/>
                      <w:szCs w:val="22"/>
                    </w:rPr>
                  </w:pPr>
                  <w:r w:rsidRPr="00755E2D">
                    <w:rPr>
                      <w:sz w:val="22"/>
                      <w:szCs w:val="22"/>
                    </w:rPr>
                    <w:t>Year 7</w:t>
                  </w:r>
                </w:p>
              </w:tc>
              <w:tc>
                <w:tcPr>
                  <w:tcW w:w="1297" w:type="dxa"/>
                  <w:vAlign w:val="center"/>
                </w:tcPr>
                <w:p w14:paraId="38DC110C" w14:textId="3F097456" w:rsidR="00633BB1" w:rsidRPr="00755E2D" w:rsidRDefault="00633BB1" w:rsidP="00633BB1">
                  <w:pPr>
                    <w:pStyle w:val="TableRowCentered"/>
                    <w:ind w:left="0"/>
                    <w:rPr>
                      <w:sz w:val="22"/>
                      <w:szCs w:val="22"/>
                    </w:rPr>
                  </w:pPr>
                  <w:r w:rsidRPr="00755E2D">
                    <w:rPr>
                      <w:sz w:val="22"/>
                      <w:szCs w:val="22"/>
                    </w:rPr>
                    <w:t>Year 8</w:t>
                  </w:r>
                </w:p>
              </w:tc>
              <w:tc>
                <w:tcPr>
                  <w:tcW w:w="1297" w:type="dxa"/>
                  <w:vAlign w:val="center"/>
                </w:tcPr>
                <w:p w14:paraId="6D86DC0A" w14:textId="592087F7" w:rsidR="00633BB1" w:rsidRPr="00755E2D" w:rsidRDefault="00633BB1" w:rsidP="00633BB1">
                  <w:pPr>
                    <w:pStyle w:val="TableRowCentered"/>
                    <w:ind w:left="0"/>
                    <w:rPr>
                      <w:sz w:val="22"/>
                      <w:szCs w:val="22"/>
                    </w:rPr>
                  </w:pPr>
                  <w:r w:rsidRPr="00755E2D">
                    <w:rPr>
                      <w:sz w:val="22"/>
                      <w:szCs w:val="22"/>
                    </w:rPr>
                    <w:t>Year 9</w:t>
                  </w:r>
                </w:p>
              </w:tc>
              <w:tc>
                <w:tcPr>
                  <w:tcW w:w="1297" w:type="dxa"/>
                  <w:vAlign w:val="center"/>
                </w:tcPr>
                <w:p w14:paraId="69B44DF0" w14:textId="434C5468" w:rsidR="00633BB1" w:rsidRPr="00755E2D" w:rsidRDefault="00633BB1" w:rsidP="00633BB1">
                  <w:pPr>
                    <w:pStyle w:val="TableRowCentered"/>
                    <w:ind w:left="0"/>
                    <w:rPr>
                      <w:sz w:val="22"/>
                      <w:szCs w:val="22"/>
                    </w:rPr>
                  </w:pPr>
                  <w:r w:rsidRPr="00755E2D">
                    <w:rPr>
                      <w:sz w:val="22"/>
                      <w:szCs w:val="22"/>
                    </w:rPr>
                    <w:t>Year 10</w:t>
                  </w:r>
                </w:p>
              </w:tc>
              <w:tc>
                <w:tcPr>
                  <w:tcW w:w="1298" w:type="dxa"/>
                  <w:vAlign w:val="center"/>
                </w:tcPr>
                <w:p w14:paraId="451ED604" w14:textId="62EDF5A7" w:rsidR="00633BB1" w:rsidRPr="00755E2D" w:rsidRDefault="00633BB1" w:rsidP="00633BB1">
                  <w:pPr>
                    <w:pStyle w:val="TableRowCentered"/>
                    <w:ind w:left="0"/>
                    <w:rPr>
                      <w:sz w:val="22"/>
                      <w:szCs w:val="22"/>
                    </w:rPr>
                  </w:pPr>
                  <w:r w:rsidRPr="00755E2D">
                    <w:rPr>
                      <w:sz w:val="22"/>
                      <w:szCs w:val="22"/>
                    </w:rPr>
                    <w:t>Year 11</w:t>
                  </w:r>
                </w:p>
              </w:tc>
            </w:tr>
            <w:tr w:rsidR="00633BB1" w:rsidRPr="00755E2D" w14:paraId="33CED2C7" w14:textId="77777777" w:rsidTr="00633BB1">
              <w:tc>
                <w:tcPr>
                  <w:tcW w:w="1297" w:type="dxa"/>
                  <w:tcBorders>
                    <w:top w:val="single" w:sz="4" w:space="0" w:color="auto"/>
                  </w:tcBorders>
                  <w:vAlign w:val="center"/>
                </w:tcPr>
                <w:p w14:paraId="206385E1" w14:textId="0AD6F6BE" w:rsidR="00633BB1" w:rsidRPr="00755E2D" w:rsidRDefault="00633BB1" w:rsidP="00633BB1">
                  <w:pPr>
                    <w:pStyle w:val="TableRowCentered"/>
                    <w:ind w:left="0"/>
                    <w:rPr>
                      <w:sz w:val="22"/>
                      <w:szCs w:val="22"/>
                    </w:rPr>
                  </w:pPr>
                  <w:r w:rsidRPr="00755E2D">
                    <w:rPr>
                      <w:sz w:val="22"/>
                      <w:szCs w:val="22"/>
                    </w:rPr>
                    <w:t>Difference</w:t>
                  </w:r>
                </w:p>
              </w:tc>
              <w:tc>
                <w:tcPr>
                  <w:tcW w:w="1297" w:type="dxa"/>
                  <w:vAlign w:val="center"/>
                </w:tcPr>
                <w:p w14:paraId="2513C62E" w14:textId="7197C81B" w:rsidR="00633BB1" w:rsidRPr="00755E2D" w:rsidRDefault="00633BB1" w:rsidP="00633BB1">
                  <w:pPr>
                    <w:pStyle w:val="TableRowCentered"/>
                    <w:ind w:left="0"/>
                    <w:rPr>
                      <w:sz w:val="22"/>
                      <w:szCs w:val="22"/>
                    </w:rPr>
                  </w:pPr>
                  <w:r w:rsidRPr="00755E2D">
                    <w:rPr>
                      <w:sz w:val="22"/>
                      <w:szCs w:val="22"/>
                    </w:rPr>
                    <w:t>2%</w:t>
                  </w:r>
                </w:p>
              </w:tc>
              <w:tc>
                <w:tcPr>
                  <w:tcW w:w="1297" w:type="dxa"/>
                  <w:vAlign w:val="center"/>
                </w:tcPr>
                <w:p w14:paraId="02A6AA75" w14:textId="55F93830" w:rsidR="00633BB1" w:rsidRPr="00755E2D" w:rsidRDefault="00633BB1" w:rsidP="00633BB1">
                  <w:pPr>
                    <w:pStyle w:val="TableRowCentered"/>
                    <w:ind w:left="0"/>
                    <w:rPr>
                      <w:sz w:val="22"/>
                      <w:szCs w:val="22"/>
                    </w:rPr>
                  </w:pPr>
                  <w:r w:rsidRPr="00755E2D">
                    <w:rPr>
                      <w:sz w:val="22"/>
                      <w:szCs w:val="22"/>
                    </w:rPr>
                    <w:t>6%</w:t>
                  </w:r>
                </w:p>
              </w:tc>
              <w:tc>
                <w:tcPr>
                  <w:tcW w:w="1297" w:type="dxa"/>
                  <w:vAlign w:val="center"/>
                </w:tcPr>
                <w:p w14:paraId="4EE5F284" w14:textId="5F9CBE8D" w:rsidR="00633BB1" w:rsidRPr="00755E2D" w:rsidRDefault="00633BB1" w:rsidP="00633BB1">
                  <w:pPr>
                    <w:pStyle w:val="TableRowCentered"/>
                    <w:ind w:left="0"/>
                    <w:rPr>
                      <w:sz w:val="22"/>
                      <w:szCs w:val="22"/>
                    </w:rPr>
                  </w:pPr>
                  <w:r w:rsidRPr="00755E2D">
                    <w:rPr>
                      <w:sz w:val="22"/>
                      <w:szCs w:val="22"/>
                    </w:rPr>
                    <w:t>9%</w:t>
                  </w:r>
                </w:p>
              </w:tc>
              <w:tc>
                <w:tcPr>
                  <w:tcW w:w="1297" w:type="dxa"/>
                  <w:vAlign w:val="center"/>
                </w:tcPr>
                <w:p w14:paraId="66958BA5" w14:textId="12E79EE4" w:rsidR="00633BB1" w:rsidRPr="00755E2D" w:rsidRDefault="00633BB1" w:rsidP="00633BB1">
                  <w:pPr>
                    <w:pStyle w:val="TableRowCentered"/>
                    <w:ind w:left="0"/>
                    <w:rPr>
                      <w:sz w:val="22"/>
                      <w:szCs w:val="22"/>
                    </w:rPr>
                  </w:pPr>
                  <w:r w:rsidRPr="00755E2D">
                    <w:rPr>
                      <w:sz w:val="22"/>
                      <w:szCs w:val="22"/>
                    </w:rPr>
                    <w:t>9%</w:t>
                  </w:r>
                </w:p>
              </w:tc>
              <w:tc>
                <w:tcPr>
                  <w:tcW w:w="1298" w:type="dxa"/>
                  <w:vAlign w:val="center"/>
                </w:tcPr>
                <w:p w14:paraId="121B13AF" w14:textId="3CB372BF" w:rsidR="00633BB1" w:rsidRPr="00755E2D" w:rsidRDefault="00633BB1" w:rsidP="00633BB1">
                  <w:pPr>
                    <w:pStyle w:val="TableRowCentered"/>
                    <w:ind w:left="0"/>
                    <w:rPr>
                      <w:sz w:val="22"/>
                      <w:szCs w:val="22"/>
                    </w:rPr>
                  </w:pPr>
                  <w:r w:rsidRPr="00755E2D">
                    <w:rPr>
                      <w:sz w:val="22"/>
                      <w:szCs w:val="22"/>
                    </w:rPr>
                    <w:t>3%</w:t>
                  </w:r>
                </w:p>
              </w:tc>
            </w:tr>
          </w:tbl>
          <w:p w14:paraId="02576101" w14:textId="77777777" w:rsidR="00633BB1" w:rsidRPr="00755E2D" w:rsidRDefault="00633BB1">
            <w:pPr>
              <w:pStyle w:val="TableRowCentered"/>
              <w:jc w:val="left"/>
              <w:rPr>
                <w:sz w:val="22"/>
                <w:szCs w:val="22"/>
              </w:rPr>
            </w:pPr>
          </w:p>
          <w:p w14:paraId="17687B93" w14:textId="1831DFD3" w:rsidR="003D1FFD" w:rsidRPr="00755E2D" w:rsidRDefault="003D1FFD">
            <w:pPr>
              <w:pStyle w:val="TableRowCentered"/>
              <w:jc w:val="left"/>
              <w:rPr>
                <w:sz w:val="22"/>
                <w:szCs w:val="22"/>
              </w:rPr>
            </w:pPr>
            <w:r w:rsidRPr="00755E2D">
              <w:rPr>
                <w:sz w:val="22"/>
                <w:szCs w:val="22"/>
              </w:rPr>
              <w:t xml:space="preserve">Our attendance data over the last 3 years indicates that attendance among disadvantaged students has been between </w:t>
            </w:r>
            <w:r w:rsidR="006E354C" w:rsidRPr="006E354C">
              <w:rPr>
                <w:sz w:val="22"/>
                <w:szCs w:val="22"/>
              </w:rPr>
              <w:t>4.67</w:t>
            </w:r>
            <w:r w:rsidRPr="006E354C">
              <w:rPr>
                <w:sz w:val="22"/>
                <w:szCs w:val="22"/>
              </w:rPr>
              <w:t xml:space="preserve">% - </w:t>
            </w:r>
            <w:r w:rsidR="006E354C" w:rsidRPr="006E354C">
              <w:rPr>
                <w:sz w:val="22"/>
                <w:szCs w:val="22"/>
              </w:rPr>
              <w:t>6.74</w:t>
            </w:r>
            <w:r w:rsidRPr="006E354C">
              <w:rPr>
                <w:sz w:val="22"/>
                <w:szCs w:val="22"/>
              </w:rPr>
              <w:t>%</w:t>
            </w:r>
            <w:r w:rsidRPr="00755E2D">
              <w:rPr>
                <w:sz w:val="22"/>
                <w:szCs w:val="22"/>
              </w:rPr>
              <w:t xml:space="preserve"> lower than for non-disadvantaged students.</w:t>
            </w:r>
          </w:p>
          <w:p w14:paraId="2A7D54F7" w14:textId="40F96E00" w:rsidR="00E66558" w:rsidRPr="00755E2D" w:rsidRDefault="003D1FFD">
            <w:pPr>
              <w:pStyle w:val="TableRowCentered"/>
              <w:jc w:val="left"/>
              <w:rPr>
                <w:sz w:val="22"/>
                <w:szCs w:val="22"/>
              </w:rPr>
            </w:pPr>
            <w:r w:rsidRPr="00755E2D">
              <w:rPr>
                <w:sz w:val="22"/>
                <w:szCs w:val="22"/>
              </w:rPr>
              <w:t>Our assessments and observations indicate that absenteeism is negatively impacting disadvantaged student progress.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755E2D" w:rsidRDefault="009D71E8">
            <w:pPr>
              <w:pStyle w:val="TableRow"/>
              <w:rPr>
                <w:sz w:val="22"/>
                <w:szCs w:val="22"/>
              </w:rPr>
            </w:pPr>
            <w:r w:rsidRPr="00755E2D">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D4F26E9" w:rsidR="00E66558" w:rsidRPr="00755E2D" w:rsidRDefault="00633BB1">
            <w:pPr>
              <w:pStyle w:val="TableRowCentered"/>
              <w:jc w:val="left"/>
              <w:rPr>
                <w:iCs/>
                <w:sz w:val="22"/>
                <w:szCs w:val="22"/>
              </w:rPr>
            </w:pPr>
            <w:r w:rsidRPr="00755E2D">
              <w:rPr>
                <w:sz w:val="22"/>
                <w:szCs w:val="22"/>
              </w:rPr>
              <w:t>Our assessments (including; Blues Programme, Bounce Back Questionnaires, Oxwell Survey, Learning Mentor referrals / Sharp System notifications and MARF/EHAT requirements), observations and discussions with students and families have identified increased social and emotional issues, such as anxiety, depression (diagnosed by medical professionals) and low self-esteem. This is partly driven by concerns about catching up lost learning and exams/future prospects, and the lack of enrichment opportunities due to the pandemic. These challenges particularly affect disadvantaged students, including their attainment.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755E2D" w:rsidRDefault="009D71E8">
            <w:pPr>
              <w:pStyle w:val="TableRow"/>
              <w:rPr>
                <w:sz w:val="22"/>
                <w:szCs w:val="22"/>
              </w:rPr>
            </w:pPr>
            <w:bookmarkStart w:id="16" w:name="_Toc443397160"/>
            <w:r w:rsidRPr="00755E2D">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132FFB1" w:rsidR="00E66558" w:rsidRPr="00755E2D" w:rsidRDefault="00633BB1">
            <w:pPr>
              <w:pStyle w:val="TableRowCentered"/>
              <w:jc w:val="left"/>
              <w:rPr>
                <w:iCs/>
                <w:sz w:val="22"/>
                <w:szCs w:val="22"/>
              </w:rPr>
            </w:pPr>
            <w:r w:rsidRPr="00755E2D">
              <w:rPr>
                <w:sz w:val="22"/>
                <w:szCs w:val="22"/>
              </w:rPr>
              <w:t>Many disadvantaged students did not have access to sufficient technology to allow them to engage meaningfully in online learning during school closures. This has meant that they have fallen further behind than others during this time and beyond as they continue to struggle to access home learning. Although there has been a programme of providing technology where possible and students have always had access to paper resources it has meant they are not accessing the same content as their classmates.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B617174" w:rsidR="00E66558" w:rsidRDefault="00633BB1">
            <w:pPr>
              <w:pStyle w:val="TableRow"/>
            </w:pPr>
            <w:r>
              <w:t>Improved attainment among disadvantaged students across the curriculum at the end of KS4, with a focus on EBacc subjects.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FF5E" w14:textId="77777777" w:rsidR="00633BB1" w:rsidRDefault="00633BB1">
            <w:pPr>
              <w:pStyle w:val="TableRowCentered"/>
              <w:jc w:val="left"/>
            </w:pPr>
            <w:r>
              <w:t>2023/24 KS4 outcomes demonstrate that disadvantaged students achieve:</w:t>
            </w:r>
          </w:p>
          <w:p w14:paraId="12E004FA" w14:textId="11ECB7ED" w:rsidR="00633BB1" w:rsidRDefault="00633BB1" w:rsidP="00633BB1">
            <w:pPr>
              <w:pStyle w:val="TableRowCentered"/>
              <w:numPr>
                <w:ilvl w:val="0"/>
                <w:numId w:val="20"/>
              </w:numPr>
              <w:jc w:val="left"/>
            </w:pPr>
            <w:r>
              <w:t xml:space="preserve">an average Attainment 8 score of &gt; </w:t>
            </w:r>
            <w:r w:rsidRPr="006E354C">
              <w:t>4</w:t>
            </w:r>
            <w:r w:rsidR="006E354C" w:rsidRPr="006E354C">
              <w:t>0.42</w:t>
            </w:r>
            <w:r>
              <w:t xml:space="preserve">. In the last 3 examination years this was </w:t>
            </w:r>
            <w:r w:rsidR="00AB4D24" w:rsidRPr="00AB4D24">
              <w:t>38.49</w:t>
            </w:r>
            <w:r w:rsidRPr="00AB4D24">
              <w:t xml:space="preserve"> – </w:t>
            </w:r>
            <w:r w:rsidR="00AB4D24" w:rsidRPr="00AB4D24">
              <w:t>43.51</w:t>
            </w:r>
          </w:p>
          <w:p w14:paraId="296FA935" w14:textId="6535512D" w:rsidR="00633BB1" w:rsidRPr="00AB4D24" w:rsidRDefault="00633BB1" w:rsidP="00633BB1">
            <w:pPr>
              <w:pStyle w:val="TableRowCentered"/>
              <w:numPr>
                <w:ilvl w:val="0"/>
                <w:numId w:val="20"/>
              </w:numPr>
              <w:jc w:val="left"/>
            </w:pPr>
            <w:r w:rsidRPr="00AB4D24">
              <w:t xml:space="preserve">an EBacc average point score of </w:t>
            </w:r>
            <w:r w:rsidR="00AB4D24">
              <w:t>3.46</w:t>
            </w:r>
            <w:r w:rsidRPr="00AB4D24">
              <w:t xml:space="preserve"> per subject. In the last 3 examination years this was </w:t>
            </w:r>
            <w:r w:rsidR="00AB4D24">
              <w:t>3.25 – 3.69</w:t>
            </w:r>
          </w:p>
          <w:p w14:paraId="4A36FC25" w14:textId="77777777" w:rsidR="00633BB1" w:rsidRDefault="00633BB1">
            <w:pPr>
              <w:pStyle w:val="TableRowCentered"/>
              <w:jc w:val="left"/>
            </w:pPr>
          </w:p>
          <w:p w14:paraId="31124DB4" w14:textId="5B05CA5D" w:rsidR="00633BB1" w:rsidRDefault="00633BB1">
            <w:pPr>
              <w:pStyle w:val="TableRowCentered"/>
              <w:jc w:val="left"/>
            </w:pPr>
            <w:r>
              <w:t xml:space="preserve">By the end of our current plan in 2027/28, </w:t>
            </w:r>
            <w:r w:rsidR="00AB4D24">
              <w:t>6</w:t>
            </w:r>
            <w:r w:rsidRPr="006E354C">
              <w:t>0%</w:t>
            </w:r>
            <w:r>
              <w:t xml:space="preserve"> or more of disadvantaged students enter the English Baccalaureate (EBacc).</w:t>
            </w:r>
          </w:p>
          <w:p w14:paraId="0BAD5634" w14:textId="77777777" w:rsidR="00633BB1" w:rsidRDefault="00633BB1">
            <w:pPr>
              <w:pStyle w:val="TableRowCentered"/>
              <w:jc w:val="left"/>
            </w:pPr>
          </w:p>
          <w:p w14:paraId="2A7D5505" w14:textId="682B1142" w:rsidR="00E66558" w:rsidRDefault="00633BB1" w:rsidP="00AB4D24">
            <w:pPr>
              <w:pStyle w:val="TableRowCentered"/>
              <w:jc w:val="left"/>
              <w:rPr>
                <w:sz w:val="22"/>
                <w:szCs w:val="22"/>
              </w:rPr>
            </w:pPr>
            <w:r>
              <w:t xml:space="preserve">In the last 3 examination years this figure was </w:t>
            </w:r>
            <w:r w:rsidR="00AB4D24" w:rsidRPr="00AB4D24">
              <w:t>22</w:t>
            </w:r>
            <w:r w:rsidRPr="00AB4D24">
              <w:t>.</w:t>
            </w:r>
            <w:r w:rsidR="00AB4D24" w:rsidRPr="00AB4D24">
              <w:t>5</w:t>
            </w:r>
            <w:r w:rsidRPr="00AB4D24">
              <w:t xml:space="preserve">% - </w:t>
            </w:r>
            <w:r w:rsidR="00AB4D24" w:rsidRPr="00AB4D24">
              <w:t>56.4</w:t>
            </w:r>
            <w:r w:rsidRPr="00AB4D24">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17E334E" w:rsidR="00E66558" w:rsidRDefault="00633BB1">
            <w:pPr>
              <w:pStyle w:val="TableRow"/>
              <w:rPr>
                <w:sz w:val="22"/>
                <w:szCs w:val="22"/>
              </w:rPr>
            </w:pPr>
            <w:r>
              <w:t>Improved attainment among high ability disadvantaged students across the curriculum at the end of KS4, with a focus on EBacc subjects.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777C" w14:textId="77777777" w:rsidR="003B1416" w:rsidRDefault="00633BB1">
            <w:pPr>
              <w:pStyle w:val="TableRowCentered"/>
              <w:jc w:val="left"/>
            </w:pPr>
            <w:r>
              <w:t>2023/24 KS4 outcomes demonstrate that high ability disadvantage</w:t>
            </w:r>
            <w:r w:rsidR="003B1416">
              <w:t>d students achieve:</w:t>
            </w:r>
          </w:p>
          <w:p w14:paraId="7C374275" w14:textId="5ED2B984" w:rsidR="003B1416" w:rsidRDefault="00633BB1" w:rsidP="003B1416">
            <w:pPr>
              <w:pStyle w:val="TableRowCentered"/>
              <w:numPr>
                <w:ilvl w:val="0"/>
                <w:numId w:val="21"/>
              </w:numPr>
              <w:jc w:val="left"/>
            </w:pPr>
            <w:r>
              <w:t xml:space="preserve">an average Attainment 8 score of &gt; </w:t>
            </w:r>
            <w:r w:rsidR="008C6375">
              <w:t>57.04</w:t>
            </w:r>
            <w:r>
              <w:t>. In the last 3 examinati</w:t>
            </w:r>
            <w:r w:rsidR="003B1416">
              <w:t xml:space="preserve">on years this was </w:t>
            </w:r>
            <w:r w:rsidR="008C6375">
              <w:t>52.43 – 60.13</w:t>
            </w:r>
          </w:p>
          <w:p w14:paraId="65B6D005" w14:textId="462B9BAD" w:rsidR="003B1416" w:rsidRDefault="00633BB1" w:rsidP="003B1416">
            <w:pPr>
              <w:pStyle w:val="TableRowCentered"/>
              <w:numPr>
                <w:ilvl w:val="0"/>
                <w:numId w:val="21"/>
              </w:numPr>
              <w:jc w:val="left"/>
            </w:pPr>
            <w:r>
              <w:t xml:space="preserve">an EBacc average point score of </w:t>
            </w:r>
            <w:r w:rsidRPr="008C6375">
              <w:t>5.</w:t>
            </w:r>
            <w:r w:rsidR="008C6375" w:rsidRPr="008C6375">
              <w:t>28</w:t>
            </w:r>
            <w:r>
              <w:t xml:space="preserve"> per subject. </w:t>
            </w:r>
          </w:p>
          <w:p w14:paraId="203B6CEA" w14:textId="73A792C2" w:rsidR="003B1416" w:rsidRDefault="00633BB1" w:rsidP="003B1416">
            <w:pPr>
              <w:pStyle w:val="TableRowCentered"/>
              <w:numPr>
                <w:ilvl w:val="0"/>
                <w:numId w:val="21"/>
              </w:numPr>
              <w:jc w:val="left"/>
            </w:pPr>
            <w:r>
              <w:t xml:space="preserve">In the last 3 examination years this was </w:t>
            </w:r>
            <w:r w:rsidR="008C6375">
              <w:t>4.76 – 5.63</w:t>
            </w:r>
            <w:r>
              <w:t xml:space="preserve"> </w:t>
            </w:r>
          </w:p>
          <w:p w14:paraId="4A14696F" w14:textId="77777777" w:rsidR="003B1416" w:rsidRDefault="003B1416">
            <w:pPr>
              <w:pStyle w:val="TableRowCentered"/>
              <w:jc w:val="left"/>
            </w:pPr>
          </w:p>
          <w:p w14:paraId="2A7D5508" w14:textId="7DB9A77C" w:rsidR="00E66558" w:rsidRPr="003B1416" w:rsidRDefault="00633BB1" w:rsidP="008C6375">
            <w:pPr>
              <w:pStyle w:val="TableRowCentered"/>
              <w:jc w:val="left"/>
            </w:pPr>
            <w:r>
              <w:t>By the end of our current plan in 20</w:t>
            </w:r>
            <w:r w:rsidR="003B1416">
              <w:t>27/28</w:t>
            </w:r>
            <w:r>
              <w:t xml:space="preserve">, </w:t>
            </w:r>
            <w:r w:rsidR="008C6375" w:rsidRPr="008C6375">
              <w:t>7</w:t>
            </w:r>
            <w:r w:rsidRPr="008C6375">
              <w:t>5%</w:t>
            </w:r>
            <w:r>
              <w:t xml:space="preserve"> or more of high ability disadvantaged students enter the</w:t>
            </w:r>
            <w:r w:rsidR="003B1416">
              <w:t xml:space="preserve"> English Baccalaureate (EBacc). </w:t>
            </w:r>
            <w:r>
              <w:t xml:space="preserve">In the </w:t>
            </w:r>
            <w:r>
              <w:lastRenderedPageBreak/>
              <w:t xml:space="preserve">last 3 examination years this figure was </w:t>
            </w:r>
            <w:r w:rsidR="008C6375">
              <w:t>37.5</w:t>
            </w:r>
            <w:r w:rsidRPr="008C6375">
              <w:t xml:space="preserve">% - </w:t>
            </w:r>
            <w:r w:rsidR="008C6375">
              <w:t>87.5</w:t>
            </w:r>
            <w:r w:rsidRPr="008C6375">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BF99A0D" w:rsidR="00E66558" w:rsidRDefault="003B1416">
            <w:pPr>
              <w:pStyle w:val="TableRow"/>
              <w:rPr>
                <w:sz w:val="22"/>
                <w:szCs w:val="22"/>
              </w:rPr>
            </w:pPr>
            <w:r>
              <w:lastRenderedPageBreak/>
              <w:t>Improved reading comprehension among disadvantaged students across KS3.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0257762" w:rsidR="00E66558" w:rsidRDefault="003B1416">
            <w:pPr>
              <w:pStyle w:val="TableRowCentered"/>
              <w:jc w:val="left"/>
              <w:rPr>
                <w:sz w:val="22"/>
                <w:szCs w:val="22"/>
              </w:rPr>
            </w:pPr>
            <w:r>
              <w:t>Reading comprehension tests demonstrate improved comprehension skills among disadvantaged students and a smaller disparity between the scores of disadvantaged students and their non-disadvantaged peers. Teachers should also have recognised this improvement through engagement in lessons and book scrutiny.</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4087429" w:rsidR="00E66558" w:rsidRDefault="003B1416">
            <w:pPr>
              <w:pStyle w:val="TableRow"/>
              <w:rPr>
                <w:sz w:val="22"/>
                <w:szCs w:val="22"/>
              </w:rPr>
            </w:pPr>
            <w:r>
              <w:t>To achieve and sustain improved attendance for all pupils, particularly our disadvantaged students.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A592" w14:textId="77777777" w:rsidR="003B1416" w:rsidRDefault="003B1416">
            <w:pPr>
              <w:pStyle w:val="TableRowCentered"/>
              <w:jc w:val="left"/>
            </w:pPr>
            <w:r>
              <w:t>Sustained high attendance from 2024/25 demonstrated by:</w:t>
            </w:r>
          </w:p>
          <w:p w14:paraId="1DFE5B39" w14:textId="77777777" w:rsidR="003B1416" w:rsidRDefault="003B1416" w:rsidP="003B1416">
            <w:pPr>
              <w:pStyle w:val="TableRowCentered"/>
              <w:numPr>
                <w:ilvl w:val="0"/>
                <w:numId w:val="22"/>
              </w:numPr>
              <w:jc w:val="left"/>
            </w:pPr>
            <w:r>
              <w:t>the overall absence rate for all students being no more than 5.0%, and the attendance gap between disadvantaged students and their non-disadvantaged peers being reduced to no more than 5%.</w:t>
            </w:r>
          </w:p>
          <w:p w14:paraId="2A7D550E" w14:textId="3756F4E9" w:rsidR="00E66558" w:rsidRDefault="003B1416" w:rsidP="003B1416">
            <w:pPr>
              <w:pStyle w:val="TableRowCentered"/>
              <w:numPr>
                <w:ilvl w:val="0"/>
                <w:numId w:val="22"/>
              </w:numPr>
              <w:jc w:val="left"/>
              <w:rPr>
                <w:sz w:val="22"/>
                <w:szCs w:val="22"/>
              </w:rPr>
            </w:pPr>
            <w:r>
              <w:t>the percentage of all students who are persistently absent being below 10% and the figure among disadvantaged students being no more than 8% lower than their peers.</w:t>
            </w:r>
          </w:p>
        </w:tc>
      </w:tr>
      <w:tr w:rsidR="003B1416" w14:paraId="0E6230C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7C90" w14:textId="431FB453" w:rsidR="003B1416" w:rsidRDefault="003B1416">
            <w:pPr>
              <w:pStyle w:val="TableRow"/>
            </w:pPr>
            <w:r>
              <w:t>Continue to develop wellbeing support for vulnerable students to recover from the effects of school closures and enable them be more confident, happy and more able to engage in school and with home learning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8099" w14:textId="5DB99A41" w:rsidR="003B1416" w:rsidRDefault="003B1416">
            <w:pPr>
              <w:pStyle w:val="TableRowCentered"/>
              <w:jc w:val="left"/>
            </w:pPr>
            <w:r>
              <w:t>Students who become identified as vulnerable are able to be effectively supported both within school and by specialist agencies to be able to increasingly engage within school and maximise their attendance, attainment and progress.</w:t>
            </w:r>
          </w:p>
        </w:tc>
      </w:tr>
    </w:tbl>
    <w:p w14:paraId="60BAD9F6" w14:textId="5795B1E2" w:rsidR="00120AB1" w:rsidRDefault="00120AB1" w:rsidP="00ED5108"/>
    <w:p w14:paraId="24D61953" w14:textId="3721DE35" w:rsidR="00A8598E" w:rsidRDefault="00A8598E" w:rsidP="00ED5108"/>
    <w:p w14:paraId="29566B1A" w14:textId="735781BC" w:rsidR="00755E2D" w:rsidRDefault="00755E2D" w:rsidP="00ED5108"/>
    <w:p w14:paraId="7F18F976" w14:textId="7C2720EB" w:rsidR="00755E2D" w:rsidRDefault="00755E2D" w:rsidP="00ED5108"/>
    <w:p w14:paraId="0426DDB9" w14:textId="77777777" w:rsidR="00755E2D" w:rsidRDefault="00755E2D"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5B77923" w:rsidR="00E66558" w:rsidRPr="00A8598E" w:rsidRDefault="009D71E8">
      <w:r>
        <w:t xml:space="preserve">Budgeted cost: £ </w:t>
      </w:r>
      <w:r w:rsidR="00290322">
        <w:t>294,462</w:t>
      </w:r>
    </w:p>
    <w:tbl>
      <w:tblPr>
        <w:tblW w:w="5000" w:type="pct"/>
        <w:tblCellMar>
          <w:left w:w="10" w:type="dxa"/>
          <w:right w:w="10" w:type="dxa"/>
        </w:tblCellMar>
        <w:tblLook w:val="04A0" w:firstRow="1" w:lastRow="0" w:firstColumn="1" w:lastColumn="0" w:noHBand="0" w:noVBand="1"/>
      </w:tblPr>
      <w:tblGrid>
        <w:gridCol w:w="2972"/>
        <w:gridCol w:w="5083"/>
        <w:gridCol w:w="1431"/>
      </w:tblGrid>
      <w:tr w:rsidR="00E66558" w14:paraId="2A7D5519"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755E2D" w:rsidRDefault="009D71E8">
            <w:pPr>
              <w:pStyle w:val="TableHeader"/>
              <w:jc w:val="left"/>
              <w:rPr>
                <w:sz w:val="22"/>
                <w:szCs w:val="22"/>
              </w:rPr>
            </w:pPr>
            <w:r w:rsidRPr="00755E2D">
              <w:rPr>
                <w:sz w:val="22"/>
                <w:szCs w:val="22"/>
              </w:rPr>
              <w:t>Activity</w:t>
            </w:r>
          </w:p>
        </w:tc>
        <w:tc>
          <w:tcPr>
            <w:tcW w:w="50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755E2D" w:rsidRDefault="009D71E8">
            <w:pPr>
              <w:pStyle w:val="TableHeader"/>
              <w:jc w:val="left"/>
              <w:rPr>
                <w:sz w:val="22"/>
                <w:szCs w:val="22"/>
              </w:rPr>
            </w:pPr>
            <w:r w:rsidRPr="00755E2D">
              <w:rPr>
                <w:sz w:val="22"/>
                <w:szCs w:val="22"/>
              </w:rPr>
              <w:t>Evidence that supports this approach</w:t>
            </w:r>
          </w:p>
        </w:tc>
        <w:tc>
          <w:tcPr>
            <w:tcW w:w="14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755E2D" w:rsidRDefault="009D71E8">
            <w:pPr>
              <w:pStyle w:val="TableHeader"/>
              <w:jc w:val="left"/>
              <w:rPr>
                <w:sz w:val="22"/>
                <w:szCs w:val="22"/>
              </w:rPr>
            </w:pPr>
            <w:r w:rsidRPr="00755E2D">
              <w:rPr>
                <w:sz w:val="22"/>
                <w:szCs w:val="22"/>
              </w:rPr>
              <w:t>Challenge number(s) addressed</w:t>
            </w:r>
          </w:p>
        </w:tc>
      </w:tr>
      <w:tr w:rsidR="00E66558" w14:paraId="2A7D551D"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869A229" w:rsidR="00E66558" w:rsidRPr="00755E2D" w:rsidRDefault="00F4610B" w:rsidP="00F4610B">
            <w:pPr>
              <w:pStyle w:val="TableRow"/>
              <w:rPr>
                <w:sz w:val="22"/>
                <w:szCs w:val="22"/>
              </w:rPr>
            </w:pPr>
            <w:r w:rsidRPr="00755E2D">
              <w:rPr>
                <w:sz w:val="22"/>
                <w:szCs w:val="22"/>
              </w:rPr>
              <w:t>Subscription to the National College to provide staff with a suite of CPD. specifically around assessing and targeting, teaching and learning and student support.</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8F6B" w14:textId="651F43BD" w:rsidR="00F4610B" w:rsidRPr="00755E2D" w:rsidRDefault="00F4610B">
            <w:pPr>
              <w:pStyle w:val="TableRowCentered"/>
              <w:jc w:val="left"/>
              <w:rPr>
                <w:sz w:val="22"/>
                <w:szCs w:val="22"/>
              </w:rPr>
            </w:pPr>
            <w:r w:rsidRPr="00755E2D">
              <w:rPr>
                <w:sz w:val="22"/>
                <w:szCs w:val="22"/>
              </w:rPr>
              <w:t xml:space="preserve">EEF Guide to the Pupil Premium—Autumn 2024 identifies High Quality Teaching as a main driver for narrowing the performance between Disadvantages Students and their peers: </w:t>
            </w:r>
          </w:p>
          <w:p w14:paraId="0E589929" w14:textId="77777777" w:rsidR="00F4610B" w:rsidRPr="00755E2D" w:rsidRDefault="00F4610B">
            <w:pPr>
              <w:pStyle w:val="TableRowCentered"/>
              <w:jc w:val="left"/>
              <w:rPr>
                <w:sz w:val="22"/>
                <w:szCs w:val="22"/>
              </w:rPr>
            </w:pPr>
          </w:p>
          <w:p w14:paraId="2A7D551B" w14:textId="65599BFE" w:rsidR="00E66558" w:rsidRPr="00755E2D" w:rsidRDefault="008C6375">
            <w:pPr>
              <w:pStyle w:val="TableRowCentered"/>
              <w:jc w:val="left"/>
              <w:rPr>
                <w:sz w:val="22"/>
                <w:szCs w:val="22"/>
              </w:rPr>
            </w:pPr>
            <w:hyperlink r:id="rId7" w:history="1">
              <w:r w:rsidR="00F4610B" w:rsidRPr="008C6375">
                <w:rPr>
                  <w:rStyle w:val="Hyperlink"/>
                  <w:sz w:val="22"/>
                  <w:szCs w:val="22"/>
                </w:rPr>
                <w:t>EEF Guide to the Pupil Premium—Autumn 2024</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9B3C78A" w:rsidR="00E66558" w:rsidRPr="00755E2D" w:rsidRDefault="00F4610B">
            <w:pPr>
              <w:pStyle w:val="TableRowCentered"/>
              <w:jc w:val="left"/>
              <w:rPr>
                <w:sz w:val="22"/>
                <w:szCs w:val="22"/>
              </w:rPr>
            </w:pPr>
            <w:r w:rsidRPr="00755E2D">
              <w:rPr>
                <w:sz w:val="22"/>
                <w:szCs w:val="22"/>
              </w:rPr>
              <w:t>1</w:t>
            </w:r>
          </w:p>
        </w:tc>
      </w:tr>
      <w:tr w:rsidR="00E66558" w14:paraId="2A7D5521"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21B7" w14:textId="77777777" w:rsidR="00F4610B" w:rsidRPr="00755E2D" w:rsidRDefault="00F4610B">
            <w:pPr>
              <w:pStyle w:val="TableRow"/>
              <w:rPr>
                <w:sz w:val="22"/>
                <w:szCs w:val="22"/>
              </w:rPr>
            </w:pPr>
            <w:r w:rsidRPr="00755E2D">
              <w:rPr>
                <w:sz w:val="22"/>
                <w:szCs w:val="22"/>
              </w:rPr>
              <w:t xml:space="preserve">Appointments of Lead Practitioners for teaching and learning. Will focus on </w:t>
            </w:r>
          </w:p>
          <w:p w14:paraId="59A4BF51" w14:textId="378A110D" w:rsidR="00F4610B" w:rsidRPr="00755E2D" w:rsidRDefault="00F4610B" w:rsidP="00F4610B">
            <w:pPr>
              <w:pStyle w:val="TableRow"/>
              <w:numPr>
                <w:ilvl w:val="0"/>
                <w:numId w:val="23"/>
              </w:numPr>
              <w:rPr>
                <w:sz w:val="22"/>
                <w:szCs w:val="22"/>
              </w:rPr>
            </w:pPr>
            <w:r w:rsidRPr="00755E2D">
              <w:rPr>
                <w:sz w:val="22"/>
                <w:szCs w:val="22"/>
              </w:rPr>
              <w:t>development of teaching standards.</w:t>
            </w:r>
          </w:p>
          <w:p w14:paraId="75A758BC" w14:textId="4F9D9A63" w:rsidR="00F4610B" w:rsidRPr="00755E2D" w:rsidRDefault="00F4610B" w:rsidP="00F4610B">
            <w:pPr>
              <w:pStyle w:val="TableRow"/>
              <w:numPr>
                <w:ilvl w:val="0"/>
                <w:numId w:val="23"/>
              </w:numPr>
              <w:rPr>
                <w:sz w:val="22"/>
                <w:szCs w:val="22"/>
              </w:rPr>
            </w:pPr>
            <w:r w:rsidRPr="00755E2D">
              <w:rPr>
                <w:sz w:val="22"/>
                <w:szCs w:val="22"/>
              </w:rPr>
              <w:t>coaching of colleagues who are identified as needing to further development.</w:t>
            </w:r>
          </w:p>
          <w:p w14:paraId="0A7BC868" w14:textId="77777777" w:rsidR="00F4610B" w:rsidRPr="00755E2D" w:rsidRDefault="00F4610B" w:rsidP="00F4610B">
            <w:pPr>
              <w:pStyle w:val="TableRow"/>
              <w:numPr>
                <w:ilvl w:val="0"/>
                <w:numId w:val="23"/>
              </w:numPr>
              <w:rPr>
                <w:sz w:val="22"/>
                <w:szCs w:val="22"/>
              </w:rPr>
            </w:pPr>
            <w:r w:rsidRPr="00755E2D">
              <w:rPr>
                <w:sz w:val="22"/>
                <w:szCs w:val="22"/>
              </w:rPr>
              <w:t>support for recently qualified colleagues</w:t>
            </w:r>
          </w:p>
          <w:p w14:paraId="2A7D551E" w14:textId="0A5481FC" w:rsidR="00E66558" w:rsidRPr="00755E2D" w:rsidRDefault="00F4610B" w:rsidP="00F4610B">
            <w:pPr>
              <w:pStyle w:val="TableRow"/>
              <w:numPr>
                <w:ilvl w:val="0"/>
                <w:numId w:val="23"/>
              </w:numPr>
              <w:rPr>
                <w:sz w:val="22"/>
                <w:szCs w:val="22"/>
              </w:rPr>
            </w:pPr>
            <w:r w:rsidRPr="00755E2D">
              <w:rPr>
                <w:sz w:val="22"/>
                <w:szCs w:val="22"/>
              </w:rPr>
              <w:t>delivery of the whole school reading initiative.</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E544" w14:textId="1ABD84BF" w:rsidR="00F4610B" w:rsidRPr="00755E2D" w:rsidRDefault="00F4610B" w:rsidP="00F4610B">
            <w:pPr>
              <w:pStyle w:val="TableRowCentered"/>
              <w:jc w:val="left"/>
              <w:rPr>
                <w:sz w:val="22"/>
                <w:szCs w:val="22"/>
              </w:rPr>
            </w:pPr>
            <w:r w:rsidRPr="00755E2D">
              <w:rPr>
                <w:sz w:val="22"/>
                <w:szCs w:val="22"/>
              </w:rPr>
              <w:t xml:space="preserve">EEF Guide to the Pupil Premium—Autumn 2024 identifies High Quality Teaching as a main driver for narrowing the performance between Disadvantages Students and their peers: </w:t>
            </w:r>
          </w:p>
          <w:p w14:paraId="739A5A1E" w14:textId="3921CE6F" w:rsidR="00F4610B" w:rsidRPr="00755E2D" w:rsidRDefault="00F4610B" w:rsidP="00F4610B">
            <w:pPr>
              <w:pStyle w:val="TableRowCentered"/>
              <w:jc w:val="left"/>
              <w:rPr>
                <w:sz w:val="22"/>
                <w:szCs w:val="22"/>
              </w:rPr>
            </w:pPr>
          </w:p>
          <w:p w14:paraId="60F94CB1" w14:textId="199BBB5F" w:rsidR="00F4610B" w:rsidRPr="00755E2D" w:rsidRDefault="00F4610B" w:rsidP="00F4610B">
            <w:pPr>
              <w:pStyle w:val="TableRowCentered"/>
              <w:jc w:val="left"/>
              <w:rPr>
                <w:sz w:val="22"/>
                <w:szCs w:val="22"/>
              </w:rPr>
            </w:pPr>
            <w:r w:rsidRPr="00755E2D">
              <w:rPr>
                <w:sz w:val="22"/>
                <w:szCs w:val="22"/>
              </w:rPr>
              <w:t>Lead practitioners are a key appointment to drive the development of T&amp;L standards at Holly Lodge and narrow attainment gaps.</w:t>
            </w:r>
          </w:p>
          <w:p w14:paraId="19444DFA" w14:textId="77777777" w:rsidR="00F4610B" w:rsidRPr="00755E2D" w:rsidRDefault="00F4610B" w:rsidP="00F4610B">
            <w:pPr>
              <w:pStyle w:val="TableRowCentered"/>
              <w:jc w:val="left"/>
              <w:rPr>
                <w:sz w:val="22"/>
                <w:szCs w:val="22"/>
              </w:rPr>
            </w:pPr>
          </w:p>
          <w:p w14:paraId="38A6C8FF" w14:textId="34BAF9AA" w:rsidR="00F4610B" w:rsidRPr="00755E2D" w:rsidRDefault="008C6375" w:rsidP="00F4610B">
            <w:pPr>
              <w:pStyle w:val="TableRowCentered"/>
              <w:jc w:val="left"/>
              <w:rPr>
                <w:sz w:val="22"/>
                <w:szCs w:val="22"/>
              </w:rPr>
            </w:pPr>
            <w:hyperlink r:id="rId8" w:history="1">
              <w:r w:rsidRPr="008C6375">
                <w:rPr>
                  <w:rStyle w:val="Hyperlink"/>
                  <w:sz w:val="22"/>
                  <w:szCs w:val="22"/>
                </w:rPr>
                <w:t>EEF Guide to the Pupil Premium—Autumn 2024</w:t>
              </w:r>
            </w:hyperlink>
          </w:p>
          <w:p w14:paraId="2A7D551F" w14:textId="4448D1D6" w:rsidR="00F4610B" w:rsidRPr="00755E2D" w:rsidRDefault="00F4610B" w:rsidP="00F4610B">
            <w:pPr>
              <w:pStyle w:val="TableRowCentered"/>
              <w:jc w:val="left"/>
              <w:rPr>
                <w:sz w:val="22"/>
                <w:szCs w:val="22"/>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E60D40A" w:rsidR="00E66558" w:rsidRPr="00755E2D" w:rsidRDefault="00F4610B">
            <w:pPr>
              <w:pStyle w:val="TableRowCentered"/>
              <w:jc w:val="left"/>
              <w:rPr>
                <w:sz w:val="22"/>
                <w:szCs w:val="22"/>
              </w:rPr>
            </w:pPr>
            <w:r w:rsidRPr="00755E2D">
              <w:rPr>
                <w:sz w:val="22"/>
                <w:szCs w:val="22"/>
              </w:rPr>
              <w:t>1, 2</w:t>
            </w:r>
          </w:p>
        </w:tc>
      </w:tr>
      <w:tr w:rsidR="003B1416" w14:paraId="66E1B698"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2973" w14:textId="690E3DB4" w:rsidR="003B1416" w:rsidRPr="00755E2D" w:rsidRDefault="00F4610B">
            <w:pPr>
              <w:pStyle w:val="TableRow"/>
              <w:rPr>
                <w:i/>
                <w:sz w:val="22"/>
                <w:szCs w:val="22"/>
              </w:rPr>
            </w:pPr>
            <w:r w:rsidRPr="00755E2D">
              <w:rPr>
                <w:sz w:val="22"/>
                <w:szCs w:val="22"/>
              </w:rPr>
              <w:t>Teaching assessment and feedback development: To reinforce metacognition in teaching strategies so staff implicitly use these techniques in their day to day teaching. Staff are more aware of how students learn and can tailor lessons accordingly. Principally basing whole school routines on Rosenshein’s Principles of Instruction.</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239E" w14:textId="77777777" w:rsidR="00F4610B" w:rsidRPr="00755E2D" w:rsidRDefault="00F4610B">
            <w:pPr>
              <w:pStyle w:val="TableRowCentered"/>
              <w:jc w:val="left"/>
              <w:rPr>
                <w:sz w:val="22"/>
                <w:szCs w:val="22"/>
              </w:rPr>
            </w:pPr>
            <w:r w:rsidRPr="00755E2D">
              <w:rPr>
                <w:sz w:val="22"/>
                <w:szCs w:val="22"/>
              </w:rPr>
              <w:t xml:space="preserve">EEF Teaching toolkit: </w:t>
            </w:r>
          </w:p>
          <w:p w14:paraId="143A420E" w14:textId="77777777" w:rsidR="00F4610B" w:rsidRPr="00755E2D" w:rsidRDefault="00F4610B">
            <w:pPr>
              <w:pStyle w:val="TableRowCentered"/>
              <w:jc w:val="left"/>
              <w:rPr>
                <w:sz w:val="22"/>
                <w:szCs w:val="22"/>
              </w:rPr>
            </w:pPr>
          </w:p>
          <w:p w14:paraId="79891390" w14:textId="29AAD44F" w:rsidR="003B1416" w:rsidRPr="00755E2D" w:rsidRDefault="008C6375">
            <w:pPr>
              <w:pStyle w:val="TableRowCentered"/>
              <w:jc w:val="left"/>
              <w:rPr>
                <w:sz w:val="22"/>
                <w:szCs w:val="22"/>
              </w:rPr>
            </w:pPr>
            <w:hyperlink r:id="rId9" w:history="1">
              <w:r w:rsidR="00F4610B" w:rsidRPr="008C6375">
                <w:rPr>
                  <w:rStyle w:val="Hyperlink"/>
                  <w:sz w:val="22"/>
                  <w:szCs w:val="22"/>
                </w:rPr>
                <w:t>Metacognition and Self-regulation</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8602" w14:textId="0415BDC9" w:rsidR="003B1416" w:rsidRPr="00755E2D" w:rsidRDefault="00002000">
            <w:pPr>
              <w:pStyle w:val="TableRowCentered"/>
              <w:jc w:val="left"/>
              <w:rPr>
                <w:sz w:val="22"/>
                <w:szCs w:val="22"/>
              </w:rPr>
            </w:pPr>
            <w:r w:rsidRPr="00755E2D">
              <w:rPr>
                <w:sz w:val="22"/>
                <w:szCs w:val="22"/>
              </w:rPr>
              <w:t>1</w:t>
            </w:r>
          </w:p>
        </w:tc>
      </w:tr>
      <w:tr w:rsidR="003B1416" w14:paraId="7C3FB1C0"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A77EE" w14:textId="04538103" w:rsidR="003B1416" w:rsidRPr="00755E2D" w:rsidRDefault="00F4610B">
            <w:pPr>
              <w:pStyle w:val="TableRow"/>
              <w:rPr>
                <w:i/>
                <w:sz w:val="22"/>
                <w:szCs w:val="22"/>
              </w:rPr>
            </w:pPr>
            <w:r w:rsidRPr="00755E2D">
              <w:rPr>
                <w:sz w:val="22"/>
                <w:szCs w:val="22"/>
              </w:rPr>
              <w:lastRenderedPageBreak/>
              <w:t>Whole school reading initiative to students improve literacy levels and ability to comprehend written sources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E1B7" w14:textId="77777777" w:rsidR="00F4610B" w:rsidRPr="004D535F" w:rsidRDefault="00F4610B">
            <w:pPr>
              <w:pStyle w:val="TableRowCentered"/>
              <w:jc w:val="left"/>
              <w:rPr>
                <w:sz w:val="22"/>
                <w:szCs w:val="22"/>
              </w:rPr>
            </w:pPr>
            <w:r w:rsidRPr="004D535F">
              <w:rPr>
                <w:sz w:val="22"/>
                <w:szCs w:val="22"/>
              </w:rPr>
              <w:t xml:space="preserve">Acquiring disciplinary literacy is key for students as they learn new, more complex concepts in each subject: </w:t>
            </w:r>
          </w:p>
          <w:p w14:paraId="4AF40EC0" w14:textId="44C0BA4F" w:rsidR="00F4610B" w:rsidRPr="004D535F" w:rsidRDefault="004D535F">
            <w:pPr>
              <w:pStyle w:val="TableRowCentered"/>
              <w:jc w:val="left"/>
              <w:rPr>
                <w:sz w:val="22"/>
                <w:szCs w:val="22"/>
              </w:rPr>
            </w:pPr>
            <w:hyperlink r:id="rId10" w:history="1">
              <w:r w:rsidRPr="004D535F">
                <w:rPr>
                  <w:rStyle w:val="Hyperlink"/>
                  <w:sz w:val="22"/>
                  <w:szCs w:val="22"/>
                </w:rPr>
                <w:t>Improving literacy in secondary schools</w:t>
              </w:r>
            </w:hyperlink>
          </w:p>
          <w:p w14:paraId="0873F736" w14:textId="77777777" w:rsidR="00F4610B" w:rsidRPr="004D535F" w:rsidRDefault="00F4610B">
            <w:pPr>
              <w:pStyle w:val="TableRowCentered"/>
              <w:jc w:val="left"/>
              <w:rPr>
                <w:sz w:val="22"/>
                <w:szCs w:val="22"/>
              </w:rPr>
            </w:pPr>
          </w:p>
          <w:p w14:paraId="7CFA701B" w14:textId="77777777" w:rsidR="00F4610B" w:rsidRPr="004D535F" w:rsidRDefault="00F4610B">
            <w:pPr>
              <w:pStyle w:val="TableRowCentered"/>
              <w:jc w:val="left"/>
              <w:rPr>
                <w:sz w:val="22"/>
                <w:szCs w:val="22"/>
              </w:rPr>
            </w:pPr>
            <w:r w:rsidRPr="004D535F">
              <w:rPr>
                <w:sz w:val="22"/>
                <w:szCs w:val="22"/>
              </w:rPr>
              <w:t>Reading comprehension, vocabulary and other literacy skills are heavily linked with attainment in maths and English:</w:t>
            </w:r>
          </w:p>
          <w:p w14:paraId="366466CF" w14:textId="10A3D5F4" w:rsidR="00F4610B" w:rsidRPr="004D535F" w:rsidRDefault="004D535F">
            <w:pPr>
              <w:pStyle w:val="TableRowCentered"/>
              <w:jc w:val="left"/>
              <w:rPr>
                <w:sz w:val="22"/>
                <w:szCs w:val="22"/>
              </w:rPr>
            </w:pPr>
            <w:hyperlink r:id="rId11" w:history="1">
              <w:r w:rsidR="00F4610B" w:rsidRPr="004D535F">
                <w:rPr>
                  <w:rStyle w:val="Hyperlink"/>
                  <w:sz w:val="22"/>
                  <w:szCs w:val="22"/>
                </w:rPr>
                <w:t>word-gap.pdf (oup.com.cn)</w:t>
              </w:r>
            </w:hyperlink>
            <w:r w:rsidR="00F4610B" w:rsidRPr="004D535F">
              <w:rPr>
                <w:sz w:val="22"/>
                <w:szCs w:val="22"/>
              </w:rPr>
              <w:t xml:space="preserve"> </w:t>
            </w:r>
          </w:p>
          <w:p w14:paraId="4AF715F3" w14:textId="77777777" w:rsidR="00F4610B" w:rsidRPr="004D535F" w:rsidRDefault="00F4610B">
            <w:pPr>
              <w:pStyle w:val="TableRowCentered"/>
              <w:jc w:val="left"/>
              <w:rPr>
                <w:sz w:val="22"/>
                <w:szCs w:val="22"/>
              </w:rPr>
            </w:pPr>
          </w:p>
          <w:p w14:paraId="5FA7C31F" w14:textId="23239F17" w:rsidR="003B1416" w:rsidRPr="004D535F" w:rsidRDefault="00F4610B">
            <w:pPr>
              <w:pStyle w:val="TableRowCentered"/>
              <w:jc w:val="left"/>
              <w:rPr>
                <w:sz w:val="22"/>
                <w:szCs w:val="22"/>
              </w:rPr>
            </w:pPr>
            <w:r w:rsidRPr="004D535F">
              <w:rPr>
                <w:sz w:val="22"/>
                <w:szCs w:val="22"/>
              </w:rPr>
              <w:t xml:space="preserve">EEF Teaching toolkit – </w:t>
            </w:r>
            <w:hyperlink r:id="rId12" w:history="1">
              <w:r w:rsidRPr="004D535F">
                <w:rPr>
                  <w:rStyle w:val="Hyperlink"/>
                  <w:sz w:val="22"/>
                  <w:szCs w:val="22"/>
                </w:rPr>
                <w:t>reading comprehension strategies</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580D" w14:textId="6D983A81" w:rsidR="003B1416" w:rsidRPr="00755E2D" w:rsidRDefault="00002000">
            <w:pPr>
              <w:pStyle w:val="TableRowCentered"/>
              <w:jc w:val="left"/>
              <w:rPr>
                <w:sz w:val="22"/>
                <w:szCs w:val="22"/>
              </w:rPr>
            </w:pPr>
            <w:r w:rsidRPr="00755E2D">
              <w:rPr>
                <w:sz w:val="22"/>
                <w:szCs w:val="22"/>
              </w:rPr>
              <w:t>1, 2</w:t>
            </w:r>
          </w:p>
        </w:tc>
      </w:tr>
      <w:tr w:rsidR="003B1416" w14:paraId="5ED0A8E9"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633C" w14:textId="6A8410D1" w:rsidR="00B0367A" w:rsidRPr="00755E2D" w:rsidRDefault="00B0367A" w:rsidP="00B0367A">
            <w:pPr>
              <w:pStyle w:val="Default"/>
              <w:rPr>
                <w:color w:val="0D0D0D"/>
                <w:sz w:val="22"/>
                <w:szCs w:val="22"/>
              </w:rPr>
            </w:pPr>
            <w:r w:rsidRPr="00755E2D">
              <w:rPr>
                <w:color w:val="0D0D0D"/>
                <w:sz w:val="22"/>
                <w:szCs w:val="22"/>
              </w:rPr>
              <w:t xml:space="preserve">Purchase of IRIS Connect and StepLab subscription to support lesson observation and coaching processes for teachers who need additional support, as well as sharing of best teaching practice. </w:t>
            </w:r>
          </w:p>
          <w:p w14:paraId="2A2A215B" w14:textId="5CFE1DD7" w:rsidR="00F4610B" w:rsidRPr="00755E2D" w:rsidRDefault="00F4610B">
            <w:pPr>
              <w:pStyle w:val="TableRow"/>
              <w:rPr>
                <w:i/>
                <w:sz w:val="22"/>
                <w:szCs w:val="22"/>
                <w:highlight w:val="yellow"/>
              </w:rPr>
            </w:pP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3F1D" w14:textId="77777777" w:rsidR="00B0367A" w:rsidRPr="00755E2D" w:rsidRDefault="00B0367A" w:rsidP="00B0367A">
            <w:pPr>
              <w:pStyle w:val="Default"/>
              <w:rPr>
                <w:sz w:val="22"/>
                <w:szCs w:val="22"/>
              </w:rPr>
            </w:pPr>
            <w:r w:rsidRPr="00755E2D">
              <w:rPr>
                <w:color w:val="0D0D0D"/>
                <w:sz w:val="22"/>
                <w:szCs w:val="22"/>
              </w:rPr>
              <w:t xml:space="preserve">EEF Guide to the Pupil Premium—Autumn 2021 identifies High Quality Teaching as a main driver for narrowing the performance between Disadvantages Students and their peers: </w:t>
            </w:r>
          </w:p>
          <w:p w14:paraId="2490268F" w14:textId="77777777" w:rsidR="003B1416" w:rsidRDefault="003B1416">
            <w:pPr>
              <w:pStyle w:val="TableRowCentered"/>
              <w:jc w:val="left"/>
              <w:rPr>
                <w:sz w:val="22"/>
                <w:szCs w:val="22"/>
                <w:highlight w:val="yellow"/>
              </w:rPr>
            </w:pPr>
          </w:p>
          <w:p w14:paraId="2D4E757A" w14:textId="15A64BCF" w:rsidR="008C6375" w:rsidRPr="00755E2D" w:rsidRDefault="008C6375">
            <w:pPr>
              <w:pStyle w:val="TableRowCentered"/>
              <w:jc w:val="left"/>
              <w:rPr>
                <w:sz w:val="22"/>
                <w:szCs w:val="22"/>
                <w:highlight w:val="yellow"/>
              </w:rPr>
            </w:pPr>
            <w:hyperlink r:id="rId13" w:history="1">
              <w:r w:rsidRPr="008C6375">
                <w:rPr>
                  <w:rStyle w:val="Hyperlink"/>
                  <w:sz w:val="22"/>
                  <w:szCs w:val="22"/>
                </w:rPr>
                <w:t>EEF Guide to the Pupil Premium—Autumn 2024</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DA5DC" w14:textId="46A8F7B5" w:rsidR="003B1416" w:rsidRPr="00755E2D" w:rsidRDefault="00002000">
            <w:pPr>
              <w:pStyle w:val="TableRowCentered"/>
              <w:jc w:val="left"/>
              <w:rPr>
                <w:sz w:val="22"/>
                <w:szCs w:val="22"/>
                <w:highlight w:val="yellow"/>
              </w:rPr>
            </w:pPr>
            <w:r w:rsidRPr="00755E2D">
              <w:rPr>
                <w:sz w:val="22"/>
                <w:szCs w:val="22"/>
              </w:rPr>
              <w:t>1</w:t>
            </w:r>
          </w:p>
        </w:tc>
      </w:tr>
      <w:tr w:rsidR="003B1416" w14:paraId="72B30892"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64BD" w14:textId="22BB46C4" w:rsidR="003B1416" w:rsidRPr="00755E2D" w:rsidRDefault="00F4610B">
            <w:pPr>
              <w:pStyle w:val="TableRow"/>
              <w:rPr>
                <w:i/>
                <w:sz w:val="22"/>
                <w:szCs w:val="22"/>
              </w:rPr>
            </w:pPr>
            <w:r w:rsidRPr="00755E2D">
              <w:rPr>
                <w:sz w:val="22"/>
                <w:szCs w:val="22"/>
              </w:rPr>
              <w:t>Engagement with the CPD provided by the Princes Teaching Institute. These are both subject specific courses designed to support teachers to develop rich subject experience for their students and long term professional development opportunities centred on delivering exceptional teaching and transformational classroom practices</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6B63" w14:textId="77777777" w:rsidR="00553EAB" w:rsidRPr="00755E2D" w:rsidRDefault="00553EAB" w:rsidP="00553EAB">
            <w:pPr>
              <w:pStyle w:val="TableRowCentered"/>
              <w:jc w:val="left"/>
              <w:rPr>
                <w:sz w:val="22"/>
                <w:szCs w:val="22"/>
              </w:rPr>
            </w:pPr>
            <w:r w:rsidRPr="00755E2D">
              <w:rPr>
                <w:sz w:val="22"/>
                <w:szCs w:val="22"/>
              </w:rPr>
              <w:t xml:space="preserve">EEF Guide to the Pupil Premium—Autumn 2024 identifies High Quality Teaching as a main driver for narrowing the performance between Disadvantages Students and their peers: </w:t>
            </w:r>
          </w:p>
          <w:p w14:paraId="0CB2A429" w14:textId="77777777" w:rsidR="00553EAB" w:rsidRPr="00755E2D" w:rsidRDefault="00553EAB" w:rsidP="00553EAB">
            <w:pPr>
              <w:pStyle w:val="TableRowCentered"/>
              <w:jc w:val="left"/>
              <w:rPr>
                <w:sz w:val="22"/>
                <w:szCs w:val="22"/>
              </w:rPr>
            </w:pPr>
          </w:p>
          <w:p w14:paraId="065F96FB" w14:textId="6F936C4F" w:rsidR="003B1416" w:rsidRPr="00755E2D" w:rsidRDefault="008C6375" w:rsidP="00553EAB">
            <w:pPr>
              <w:pStyle w:val="TableRowCentered"/>
              <w:jc w:val="left"/>
              <w:rPr>
                <w:sz w:val="22"/>
                <w:szCs w:val="22"/>
              </w:rPr>
            </w:pPr>
            <w:hyperlink r:id="rId14" w:history="1">
              <w:r w:rsidRPr="008C6375">
                <w:rPr>
                  <w:rStyle w:val="Hyperlink"/>
                  <w:sz w:val="22"/>
                  <w:szCs w:val="22"/>
                </w:rPr>
                <w:t>EEF Guide to the Pupil Premium—Autumn 2024</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D960" w14:textId="2C1849DA" w:rsidR="003B1416" w:rsidRPr="00755E2D" w:rsidRDefault="00002000">
            <w:pPr>
              <w:pStyle w:val="TableRowCentered"/>
              <w:jc w:val="left"/>
              <w:rPr>
                <w:sz w:val="22"/>
                <w:szCs w:val="22"/>
              </w:rPr>
            </w:pPr>
            <w:r w:rsidRPr="00755E2D">
              <w:rPr>
                <w:sz w:val="22"/>
                <w:szCs w:val="22"/>
              </w:rPr>
              <w:t>1</w:t>
            </w:r>
          </w:p>
        </w:tc>
      </w:tr>
      <w:tr w:rsidR="003B1416" w14:paraId="67C232B5"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D926" w14:textId="70C87931" w:rsidR="003B1416" w:rsidRPr="00755E2D" w:rsidRDefault="00553EAB">
            <w:pPr>
              <w:pStyle w:val="TableRow"/>
              <w:rPr>
                <w:i/>
                <w:sz w:val="22"/>
                <w:szCs w:val="22"/>
              </w:rPr>
            </w:pPr>
            <w:r w:rsidRPr="00755E2D">
              <w:rPr>
                <w:sz w:val="22"/>
                <w:szCs w:val="22"/>
              </w:rPr>
              <w:t>Additional learning resources targeted towards teachers being able to support disadvantaged students for whom the school closures meant they were unable to make the progress their peers did.</w:t>
            </w:r>
          </w:p>
        </w:tc>
        <w:tc>
          <w:tcPr>
            <w:tcW w:w="5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E3428" w14:textId="77777777" w:rsidR="00553EAB" w:rsidRPr="00755E2D" w:rsidRDefault="00553EAB" w:rsidP="00553EAB">
            <w:pPr>
              <w:pStyle w:val="TableRowCentered"/>
              <w:jc w:val="left"/>
              <w:rPr>
                <w:sz w:val="22"/>
                <w:szCs w:val="22"/>
              </w:rPr>
            </w:pPr>
            <w:r w:rsidRPr="00755E2D">
              <w:rPr>
                <w:sz w:val="22"/>
                <w:szCs w:val="22"/>
              </w:rPr>
              <w:t xml:space="preserve">EEF Guide to the Pupil Premium—Autumn 2024 identifies High Quality Teaching as a main driver for narrowing the performance between Disadvantages Students and their peers: </w:t>
            </w:r>
          </w:p>
          <w:p w14:paraId="1DC3B5EE" w14:textId="77777777" w:rsidR="00553EAB" w:rsidRPr="00755E2D" w:rsidRDefault="00553EAB" w:rsidP="00553EAB">
            <w:pPr>
              <w:pStyle w:val="TableRowCentered"/>
              <w:jc w:val="left"/>
              <w:rPr>
                <w:sz w:val="22"/>
                <w:szCs w:val="22"/>
              </w:rPr>
            </w:pPr>
          </w:p>
          <w:p w14:paraId="26384718" w14:textId="25B5F3B1" w:rsidR="003B1416" w:rsidRPr="00755E2D" w:rsidRDefault="008C6375" w:rsidP="00553EAB">
            <w:pPr>
              <w:pStyle w:val="TableRowCentered"/>
              <w:jc w:val="left"/>
              <w:rPr>
                <w:sz w:val="22"/>
                <w:szCs w:val="22"/>
              </w:rPr>
            </w:pPr>
            <w:hyperlink r:id="rId15" w:history="1">
              <w:r w:rsidRPr="008C6375">
                <w:rPr>
                  <w:rStyle w:val="Hyperlink"/>
                  <w:sz w:val="22"/>
                  <w:szCs w:val="22"/>
                </w:rPr>
                <w:t>EEF Guide to the Pupil Premium—Autumn 2024</w:t>
              </w:r>
            </w:hyperlink>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37B6" w14:textId="37222194" w:rsidR="003B1416" w:rsidRPr="00755E2D" w:rsidRDefault="00002000">
            <w:pPr>
              <w:pStyle w:val="TableRowCentered"/>
              <w:jc w:val="left"/>
              <w:rPr>
                <w:sz w:val="22"/>
                <w:szCs w:val="22"/>
              </w:rPr>
            </w:pPr>
            <w:r w:rsidRPr="00755E2D">
              <w:rPr>
                <w:sz w:val="22"/>
                <w:szCs w:val="22"/>
              </w:rPr>
              <w:t>1</w:t>
            </w:r>
          </w:p>
        </w:tc>
      </w:tr>
    </w:tbl>
    <w:p w14:paraId="2A7D5522" w14:textId="0E3E106C" w:rsidR="00E66558" w:rsidRDefault="00E66558" w:rsidP="00ED5108"/>
    <w:p w14:paraId="7E08C0CB" w14:textId="30D9297A" w:rsidR="00755E2D" w:rsidRDefault="00755E2D" w:rsidP="00ED5108"/>
    <w:p w14:paraId="1618FF5F" w14:textId="77777777" w:rsidR="00755E2D" w:rsidRDefault="00755E2D"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735B57C8" w:rsidR="00E66558" w:rsidRDefault="009D71E8">
      <w:r>
        <w:t xml:space="preserve">Budgeted cost: £ </w:t>
      </w:r>
      <w:r w:rsidR="00A8598E">
        <w:t>92,988</w:t>
      </w:r>
    </w:p>
    <w:tbl>
      <w:tblPr>
        <w:tblW w:w="5000" w:type="pct"/>
        <w:tblCellMar>
          <w:left w:w="10" w:type="dxa"/>
          <w:right w:w="10" w:type="dxa"/>
        </w:tblCellMar>
        <w:tblLook w:val="04A0" w:firstRow="1" w:lastRow="0" w:firstColumn="1" w:lastColumn="0" w:noHBand="0" w:noVBand="1"/>
      </w:tblPr>
      <w:tblGrid>
        <w:gridCol w:w="2972"/>
        <w:gridCol w:w="4983"/>
        <w:gridCol w:w="1531"/>
      </w:tblGrid>
      <w:tr w:rsidR="00E66558" w14:paraId="2A7D5528"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9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9F8D654" w:rsidR="00E66558" w:rsidRPr="002509FC" w:rsidRDefault="002509FC" w:rsidP="002509FC">
            <w:pPr>
              <w:pStyle w:val="TableRow"/>
            </w:pPr>
            <w:r>
              <w:rPr>
                <w:iCs/>
                <w:sz w:val="22"/>
                <w:szCs w:val="22"/>
              </w:rPr>
              <w:t xml:space="preserve">Employ and train a qualified teacher to deliver </w:t>
            </w:r>
            <w:r w:rsidRPr="002509FC">
              <w:rPr>
                <w:iCs/>
                <w:sz w:val="22"/>
                <w:szCs w:val="22"/>
              </w:rPr>
              <w:t>Lexonic</w:t>
            </w:r>
            <w:r>
              <w:rPr>
                <w:iCs/>
                <w:sz w:val="22"/>
                <w:szCs w:val="22"/>
              </w:rPr>
              <w:t xml:space="preserve"> programs to red readers.</w:t>
            </w:r>
            <w:bookmarkStart w:id="17" w:name="_GoBack"/>
            <w:bookmarkEnd w:id="17"/>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7121" w14:textId="77777777" w:rsidR="00B502AA" w:rsidRDefault="00B502AA">
            <w:pPr>
              <w:pStyle w:val="TableRowCentered"/>
              <w:jc w:val="left"/>
            </w:pPr>
            <w:r>
              <w:t>Tuition targeted at specific needs and knowledge gaps can be an effective method to support low attaining students or those falling behind, both one-to-one and in small groups:</w:t>
            </w:r>
          </w:p>
          <w:p w14:paraId="6E7B934B" w14:textId="77777777" w:rsidR="00B502AA" w:rsidRDefault="00B502AA">
            <w:pPr>
              <w:pStyle w:val="TableRowCentered"/>
              <w:jc w:val="left"/>
            </w:pPr>
          </w:p>
          <w:p w14:paraId="2A7D552A" w14:textId="57F6C760" w:rsidR="00E66558" w:rsidRDefault="00B502AA">
            <w:pPr>
              <w:pStyle w:val="TableRowCentered"/>
              <w:jc w:val="left"/>
              <w:rPr>
                <w:sz w:val="22"/>
              </w:rPr>
            </w:pPr>
            <w:r>
              <w:t xml:space="preserve">EEF Teaching toolkit – </w:t>
            </w:r>
            <w:hyperlink r:id="rId16" w:history="1">
              <w:r w:rsidRPr="004D535F">
                <w:rPr>
                  <w:rStyle w:val="Hyperlink"/>
                </w:rPr>
                <w:t>one to one tuition</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E12026D" w:rsidR="00E66558" w:rsidRDefault="00002000">
            <w:pPr>
              <w:pStyle w:val="TableRowCentered"/>
              <w:jc w:val="left"/>
              <w:rPr>
                <w:sz w:val="22"/>
              </w:rPr>
            </w:pPr>
            <w:r>
              <w:rPr>
                <w:sz w:val="22"/>
              </w:rPr>
              <w:t>1, 2, 3</w:t>
            </w:r>
          </w:p>
        </w:tc>
      </w:tr>
      <w:tr w:rsidR="00E66558" w14:paraId="2A7D5530"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3FB7564" w:rsidR="00E66558" w:rsidRDefault="00B502AA">
            <w:pPr>
              <w:pStyle w:val="TableRow"/>
              <w:rPr>
                <w:i/>
                <w:sz w:val="22"/>
              </w:rPr>
            </w:pPr>
            <w:r>
              <w:t>Teaching assistants, small group and one to one intervention for students requiring the greatest support</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17CB" w14:textId="77777777" w:rsidR="00B502AA" w:rsidRDefault="00B502AA">
            <w:pPr>
              <w:pStyle w:val="TableRowCentered"/>
              <w:jc w:val="left"/>
            </w:pPr>
            <w:r>
              <w:t xml:space="preserve">Teaching assistants deployed in two ways; to support the teacher in the general classroom environment, or to provide targeted interventions, which are often delivered out-of-class. </w:t>
            </w:r>
          </w:p>
          <w:p w14:paraId="2EE8D4E8" w14:textId="77777777" w:rsidR="00B502AA" w:rsidRDefault="00B502AA">
            <w:pPr>
              <w:pStyle w:val="TableRowCentered"/>
              <w:jc w:val="left"/>
            </w:pPr>
          </w:p>
          <w:p w14:paraId="2A7D552E" w14:textId="1E984A32" w:rsidR="00E66558" w:rsidRDefault="00B502AA">
            <w:pPr>
              <w:pStyle w:val="TableRowCentered"/>
              <w:jc w:val="left"/>
              <w:rPr>
                <w:sz w:val="22"/>
              </w:rPr>
            </w:pPr>
            <w:r>
              <w:t>EEF Teac</w:t>
            </w:r>
            <w:r w:rsidRPr="004D535F">
              <w:t xml:space="preserve">hing toolkit – </w:t>
            </w:r>
            <w:hyperlink r:id="rId17" w:history="1">
              <w:r w:rsidRPr="004D535F">
                <w:rPr>
                  <w:rStyle w:val="Hyperlink"/>
                </w:rPr>
                <w:t>Teaching assistant interventions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F48C212" w:rsidR="00E66558" w:rsidRDefault="00002000">
            <w:pPr>
              <w:pStyle w:val="TableRowCentered"/>
              <w:jc w:val="left"/>
              <w:rPr>
                <w:sz w:val="22"/>
              </w:rPr>
            </w:pPr>
            <w:r>
              <w:rPr>
                <w:sz w:val="22"/>
              </w:rPr>
              <w:t>1, 2</w:t>
            </w:r>
          </w:p>
        </w:tc>
      </w:tr>
      <w:tr w:rsidR="00B502AA" w14:paraId="03F69326"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D5C2" w14:textId="77777777" w:rsidR="00B0367A" w:rsidRPr="00B0367A" w:rsidRDefault="00B0367A" w:rsidP="00B0367A">
            <w:pPr>
              <w:pStyle w:val="Default"/>
              <w:rPr>
                <w:color w:val="0D0D0D"/>
              </w:rPr>
            </w:pPr>
            <w:r w:rsidRPr="00B0367A">
              <w:rPr>
                <w:color w:val="0D0D0D"/>
              </w:rPr>
              <w:t xml:space="preserve">Summer school </w:t>
            </w:r>
          </w:p>
          <w:p w14:paraId="2B7344ED" w14:textId="77777777" w:rsidR="00B0367A" w:rsidRPr="00B0367A" w:rsidRDefault="00B0367A" w:rsidP="00B0367A">
            <w:pPr>
              <w:pStyle w:val="Default"/>
            </w:pPr>
            <w:r w:rsidRPr="00B0367A">
              <w:rPr>
                <w:color w:val="0D0D0D"/>
              </w:rPr>
              <w:t xml:space="preserve">Allowing new year 6 students to arrive ready and prepared to start HL in September </w:t>
            </w:r>
          </w:p>
          <w:p w14:paraId="106F8868" w14:textId="32BAA0C6" w:rsidR="00B502AA" w:rsidRDefault="00B502AA">
            <w:pPr>
              <w:pStyle w:val="TableRow"/>
            </w:pP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C6D5" w14:textId="77777777" w:rsidR="00B0367A" w:rsidRDefault="00B0367A" w:rsidP="00B0367A">
            <w:pPr>
              <w:pStyle w:val="Default"/>
              <w:rPr>
                <w:sz w:val="22"/>
                <w:szCs w:val="22"/>
              </w:rPr>
            </w:pPr>
            <w:r>
              <w:rPr>
                <w:color w:val="0D0D0D"/>
                <w:sz w:val="22"/>
                <w:szCs w:val="22"/>
              </w:rPr>
              <w:t xml:space="preserve">Transition programme focused on literacy, numeracy and wellbeing </w:t>
            </w:r>
          </w:p>
          <w:p w14:paraId="712F7DB7" w14:textId="77777777" w:rsidR="00B0367A" w:rsidRDefault="00B0367A" w:rsidP="00B0367A">
            <w:pPr>
              <w:pStyle w:val="Default"/>
              <w:rPr>
                <w:color w:val="0D0D0D"/>
                <w:sz w:val="22"/>
                <w:szCs w:val="22"/>
              </w:rPr>
            </w:pPr>
            <w:r>
              <w:rPr>
                <w:color w:val="0D0D0D"/>
                <w:sz w:val="22"/>
                <w:szCs w:val="22"/>
              </w:rPr>
              <w:t xml:space="preserve">EEF Teaching toolkit – </w:t>
            </w:r>
          </w:p>
          <w:p w14:paraId="45F6D95B" w14:textId="1B6A31A2" w:rsidR="00B0367A" w:rsidRDefault="004D535F" w:rsidP="00B0367A">
            <w:pPr>
              <w:pStyle w:val="Default"/>
              <w:rPr>
                <w:color w:val="0000FF"/>
                <w:sz w:val="22"/>
                <w:szCs w:val="22"/>
              </w:rPr>
            </w:pPr>
            <w:hyperlink r:id="rId18" w:history="1">
              <w:r w:rsidR="00B0367A" w:rsidRPr="004D535F">
                <w:rPr>
                  <w:rStyle w:val="Hyperlink"/>
                  <w:rFonts w:ascii="Calibri" w:hAnsi="Calibri"/>
                  <w:sz w:val="22"/>
                  <w:szCs w:val="22"/>
                </w:rPr>
                <w:t>Summer schools</w:t>
              </w:r>
            </w:hyperlink>
            <w:r w:rsidR="00B0367A">
              <w:rPr>
                <w:color w:val="0000FF"/>
                <w:sz w:val="22"/>
                <w:szCs w:val="22"/>
              </w:rPr>
              <w:t xml:space="preserve"> </w:t>
            </w:r>
          </w:p>
          <w:p w14:paraId="21D0A80B" w14:textId="77777777" w:rsidR="00B502AA" w:rsidRDefault="00B502AA">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728E" w14:textId="0910A523" w:rsidR="00B502AA" w:rsidRDefault="00002000">
            <w:pPr>
              <w:pStyle w:val="TableRowCentered"/>
              <w:jc w:val="left"/>
              <w:rPr>
                <w:sz w:val="22"/>
              </w:rPr>
            </w:pPr>
            <w:r>
              <w:rPr>
                <w:sz w:val="22"/>
              </w:rPr>
              <w:t>1, 2, 4, 5</w:t>
            </w:r>
          </w:p>
        </w:tc>
      </w:tr>
      <w:tr w:rsidR="00B502AA" w14:paraId="65881277"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26F6" w14:textId="04996AFA" w:rsidR="00B502AA" w:rsidRPr="00B502AA" w:rsidRDefault="00B502AA">
            <w:pPr>
              <w:pStyle w:val="TableRow"/>
              <w:rPr>
                <w:highlight w:val="yellow"/>
              </w:rPr>
            </w:pPr>
            <w:r>
              <w:t>Debate Mate- to enhance students’ confidence and self-esteem through oracy.</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9377" w14:textId="77777777" w:rsidR="00B502AA" w:rsidRDefault="00B502AA">
            <w:pPr>
              <w:pStyle w:val="TableRowCentered"/>
              <w:jc w:val="left"/>
            </w:pPr>
            <w:r>
              <w:t xml:space="preserve">Opportunity for students to develop key analysis and debating skills. Develop key Oracy. </w:t>
            </w:r>
          </w:p>
          <w:p w14:paraId="7EFE8C40" w14:textId="77777777" w:rsidR="00B502AA" w:rsidRDefault="00B502AA">
            <w:pPr>
              <w:pStyle w:val="TableRowCentered"/>
              <w:jc w:val="left"/>
            </w:pPr>
          </w:p>
          <w:p w14:paraId="259C7FBD" w14:textId="09F80804" w:rsidR="00B502AA" w:rsidRDefault="00B502AA">
            <w:pPr>
              <w:pStyle w:val="TableRowCentered"/>
              <w:jc w:val="left"/>
              <w:rPr>
                <w:sz w:val="22"/>
              </w:rPr>
            </w:pPr>
            <w:r>
              <w:t>EEF Te</w:t>
            </w:r>
            <w:r w:rsidRPr="004D535F">
              <w:t xml:space="preserve">aching toolkit – </w:t>
            </w:r>
            <w:hyperlink r:id="rId19" w:history="1">
              <w:r w:rsidRPr="004D535F">
                <w:rPr>
                  <w:rStyle w:val="Hyperlink"/>
                </w:rPr>
                <w:t>Oral Language interventions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D3D5D" w14:textId="1EC567FB" w:rsidR="00B502AA" w:rsidRDefault="00002000">
            <w:pPr>
              <w:pStyle w:val="TableRowCentered"/>
              <w:jc w:val="left"/>
              <w:rPr>
                <w:sz w:val="22"/>
              </w:rPr>
            </w:pPr>
            <w:r>
              <w:rPr>
                <w:sz w:val="22"/>
              </w:rPr>
              <w:t>2</w:t>
            </w:r>
          </w:p>
        </w:tc>
      </w:tr>
      <w:tr w:rsidR="00B502AA" w14:paraId="71E1307C"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9E066" w14:textId="721F5DD8" w:rsidR="00B502AA" w:rsidRDefault="00B502AA">
            <w:pPr>
              <w:pStyle w:val="TableRow"/>
            </w:pPr>
            <w:r>
              <w:t>A range of intervention activities designed to improve the outcomes of key year 11 students. In particular in English, Maths and Science.</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0361" w14:textId="77777777" w:rsidR="00B502AA" w:rsidRDefault="00B502AA">
            <w:pPr>
              <w:pStyle w:val="TableRowCentered"/>
              <w:jc w:val="left"/>
            </w:pPr>
            <w:r>
              <w:t>A number of EEF teaching toolkit intervention activities , including:</w:t>
            </w:r>
          </w:p>
          <w:p w14:paraId="7A7355A9" w14:textId="612670F3" w:rsidR="00B502AA" w:rsidRDefault="00B502AA">
            <w:pPr>
              <w:pStyle w:val="TableRowCentered"/>
              <w:jc w:val="left"/>
            </w:pPr>
            <w:r>
              <w:t xml:space="preserve">Extending school time </w:t>
            </w:r>
          </w:p>
          <w:p w14:paraId="76D8AD9A" w14:textId="77777777" w:rsidR="00B502AA" w:rsidRDefault="00B502AA">
            <w:pPr>
              <w:pStyle w:val="TableRowCentered"/>
              <w:jc w:val="left"/>
            </w:pPr>
            <w:r>
              <w:t>Mentoring</w:t>
            </w:r>
          </w:p>
          <w:p w14:paraId="12F08197" w14:textId="77777777" w:rsidR="00B502AA" w:rsidRDefault="00B502AA">
            <w:pPr>
              <w:pStyle w:val="TableRowCentered"/>
              <w:jc w:val="left"/>
            </w:pPr>
            <w:r>
              <w:t>Small group</w:t>
            </w:r>
          </w:p>
          <w:p w14:paraId="3FFC1507" w14:textId="3C3ED495" w:rsidR="00B502AA" w:rsidRDefault="00B502AA">
            <w:pPr>
              <w:pStyle w:val="TableRowCentered"/>
              <w:jc w:val="left"/>
            </w:pPr>
            <w:r>
              <w:t>Tuition</w:t>
            </w:r>
          </w:p>
          <w:p w14:paraId="1C327F99" w14:textId="5AD5326B" w:rsidR="00B502AA" w:rsidRDefault="00B502AA">
            <w:pPr>
              <w:pStyle w:val="TableRowCentered"/>
              <w:jc w:val="left"/>
            </w:pPr>
            <w:r>
              <w:t>Homework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E28D" w14:textId="5BEC1528" w:rsidR="00B502AA" w:rsidRDefault="00E461C1">
            <w:pPr>
              <w:pStyle w:val="TableRowCentered"/>
              <w:jc w:val="left"/>
              <w:rPr>
                <w:sz w:val="22"/>
              </w:rPr>
            </w:pPr>
            <w:r>
              <w:rPr>
                <w:sz w:val="22"/>
              </w:rPr>
              <w:t>1, 2, 3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572FACE1" w:rsidR="00E66558" w:rsidRDefault="009D71E8">
      <w:pPr>
        <w:spacing w:before="240" w:after="120"/>
      </w:pPr>
      <w:r>
        <w:t xml:space="preserve">Budgeted cost: £ </w:t>
      </w:r>
      <w:r w:rsidR="00290322">
        <w:t>129,150</w:t>
      </w:r>
    </w:p>
    <w:tbl>
      <w:tblPr>
        <w:tblW w:w="5000" w:type="pct"/>
        <w:tblCellMar>
          <w:left w:w="10" w:type="dxa"/>
          <w:right w:w="10" w:type="dxa"/>
        </w:tblCellMar>
        <w:tblLook w:val="04A0" w:firstRow="1" w:lastRow="0" w:firstColumn="1" w:lastColumn="0" w:noHBand="0" w:noVBand="1"/>
      </w:tblPr>
      <w:tblGrid>
        <w:gridCol w:w="2972"/>
        <w:gridCol w:w="4961"/>
        <w:gridCol w:w="1553"/>
      </w:tblGrid>
      <w:tr w:rsidR="00E66558" w14:paraId="2A7D5537"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755E2D" w:rsidRDefault="009D71E8">
            <w:pPr>
              <w:pStyle w:val="TableHeader"/>
              <w:jc w:val="left"/>
              <w:rPr>
                <w:sz w:val="22"/>
                <w:szCs w:val="22"/>
              </w:rPr>
            </w:pPr>
            <w:r w:rsidRPr="00755E2D">
              <w:rPr>
                <w:sz w:val="22"/>
                <w:szCs w:val="22"/>
              </w:rPr>
              <w:t>Activity</w:t>
            </w:r>
          </w:p>
        </w:tc>
        <w:tc>
          <w:tcPr>
            <w:tcW w:w="49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755E2D" w:rsidRDefault="009D71E8">
            <w:pPr>
              <w:pStyle w:val="TableHeader"/>
              <w:jc w:val="left"/>
              <w:rPr>
                <w:sz w:val="22"/>
                <w:szCs w:val="22"/>
              </w:rPr>
            </w:pPr>
            <w:r w:rsidRPr="00755E2D">
              <w:rPr>
                <w:sz w:val="22"/>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42B1B18" w:rsidR="00E66558" w:rsidRPr="00755E2D" w:rsidRDefault="00B502AA">
            <w:pPr>
              <w:pStyle w:val="TableRow"/>
              <w:rPr>
                <w:sz w:val="22"/>
                <w:szCs w:val="22"/>
              </w:rPr>
            </w:pPr>
            <w:r w:rsidRPr="00755E2D">
              <w:rPr>
                <w:sz w:val="22"/>
                <w:szCs w:val="22"/>
              </w:rPr>
              <w:t>Enhanced pastoral support due to needs of student cohort with high level of disadvantage. Including non-teaching year leaders and learning mentors.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5BED" w14:textId="77777777" w:rsidR="00B502AA" w:rsidRPr="00755E2D" w:rsidRDefault="00B502AA">
            <w:pPr>
              <w:pStyle w:val="TableRowCentered"/>
              <w:jc w:val="left"/>
              <w:rPr>
                <w:sz w:val="22"/>
                <w:szCs w:val="22"/>
              </w:rPr>
            </w:pPr>
            <w:r w:rsidRPr="00755E2D">
              <w:rPr>
                <w:sz w:val="22"/>
                <w:szCs w:val="22"/>
              </w:rPr>
              <w:t>Increased in school capacity to support students with well-being and social emotional issues which are acknowledged as having a significant impact upon their ability to achieve in school.</w:t>
            </w:r>
          </w:p>
          <w:p w14:paraId="03EE8BB9" w14:textId="77777777" w:rsidR="00B502AA" w:rsidRPr="00755E2D" w:rsidRDefault="00B502AA">
            <w:pPr>
              <w:pStyle w:val="TableRowCentered"/>
              <w:jc w:val="left"/>
              <w:rPr>
                <w:sz w:val="22"/>
                <w:szCs w:val="22"/>
              </w:rPr>
            </w:pPr>
          </w:p>
          <w:p w14:paraId="1DC0062D" w14:textId="74F8E454" w:rsidR="00B502AA" w:rsidRPr="004D535F" w:rsidRDefault="00B502AA">
            <w:pPr>
              <w:pStyle w:val="TableRowCentered"/>
              <w:jc w:val="left"/>
              <w:rPr>
                <w:sz w:val="22"/>
                <w:szCs w:val="22"/>
              </w:rPr>
            </w:pPr>
            <w:r w:rsidRPr="00755E2D">
              <w:rPr>
                <w:sz w:val="22"/>
                <w:szCs w:val="22"/>
              </w:rPr>
              <w:t xml:space="preserve">EEF Teaching toolkit </w:t>
            </w:r>
            <w:r w:rsidRPr="004D535F">
              <w:rPr>
                <w:sz w:val="22"/>
                <w:szCs w:val="22"/>
              </w:rPr>
              <w:t xml:space="preserve">– </w:t>
            </w:r>
            <w:hyperlink r:id="rId20" w:history="1">
              <w:r w:rsidRPr="004D535F">
                <w:rPr>
                  <w:rStyle w:val="Hyperlink"/>
                  <w:sz w:val="22"/>
                  <w:szCs w:val="22"/>
                </w:rPr>
                <w:t>Mentoring</w:t>
              </w:r>
            </w:hyperlink>
            <w:r w:rsidRPr="004D535F">
              <w:rPr>
                <w:sz w:val="22"/>
                <w:szCs w:val="22"/>
              </w:rPr>
              <w:t xml:space="preserve"> </w:t>
            </w:r>
          </w:p>
          <w:p w14:paraId="6AC7E369" w14:textId="77777777" w:rsidR="00B502AA" w:rsidRPr="004D535F" w:rsidRDefault="00B502AA">
            <w:pPr>
              <w:pStyle w:val="TableRowCentered"/>
              <w:jc w:val="left"/>
              <w:rPr>
                <w:sz w:val="22"/>
                <w:szCs w:val="22"/>
              </w:rPr>
            </w:pPr>
          </w:p>
          <w:p w14:paraId="2A7D5539" w14:textId="1C332781" w:rsidR="00E66558" w:rsidRPr="00755E2D" w:rsidRDefault="00B502AA">
            <w:pPr>
              <w:pStyle w:val="TableRowCentered"/>
              <w:jc w:val="left"/>
              <w:rPr>
                <w:sz w:val="22"/>
                <w:szCs w:val="22"/>
              </w:rPr>
            </w:pPr>
            <w:r w:rsidRPr="004D535F">
              <w:rPr>
                <w:sz w:val="22"/>
                <w:szCs w:val="22"/>
              </w:rPr>
              <w:t xml:space="preserve">Public Heath England Advice – </w:t>
            </w:r>
            <w:hyperlink r:id="rId21" w:history="1">
              <w:r w:rsidRPr="004D535F">
                <w:rPr>
                  <w:rStyle w:val="Hyperlink"/>
                  <w:sz w:val="22"/>
                  <w:szCs w:val="22"/>
                </w:rPr>
                <w:t>The link between pupil health and wellbeing and attainment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D5E4412" w:rsidR="00E66558" w:rsidRDefault="00E461C1">
            <w:pPr>
              <w:pStyle w:val="TableRowCentered"/>
              <w:jc w:val="left"/>
              <w:rPr>
                <w:sz w:val="22"/>
              </w:rPr>
            </w:pPr>
            <w:r>
              <w:rPr>
                <w:sz w:val="22"/>
              </w:rPr>
              <w:t>4, 5</w:t>
            </w:r>
          </w:p>
        </w:tc>
      </w:tr>
      <w:tr w:rsidR="00E66558" w14:paraId="2A7D553F"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30694CC" w:rsidR="00E66558" w:rsidRPr="00755E2D" w:rsidRDefault="00B502AA">
            <w:pPr>
              <w:pStyle w:val="TableRow"/>
              <w:rPr>
                <w:i/>
                <w:sz w:val="22"/>
                <w:szCs w:val="22"/>
              </w:rPr>
            </w:pPr>
            <w:r w:rsidRPr="00755E2D">
              <w:rPr>
                <w:sz w:val="22"/>
                <w:szCs w:val="22"/>
              </w:rPr>
              <w:t>Transform project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B8D7" w14:textId="77777777" w:rsidR="00B502AA" w:rsidRPr="00755E2D" w:rsidRDefault="00B502AA">
            <w:pPr>
              <w:pStyle w:val="TableRowCentered"/>
              <w:jc w:val="left"/>
              <w:rPr>
                <w:sz w:val="22"/>
                <w:szCs w:val="22"/>
              </w:rPr>
            </w:pPr>
            <w:r w:rsidRPr="00755E2D">
              <w:rPr>
                <w:sz w:val="22"/>
                <w:szCs w:val="22"/>
              </w:rPr>
              <w:t xml:space="preserve">Youth Sports Trust target support for physical and mental wellbeing through physical activity, working with Year 10 students. </w:t>
            </w:r>
          </w:p>
          <w:p w14:paraId="0AD1B832" w14:textId="77777777" w:rsidR="00B502AA" w:rsidRPr="00755E2D" w:rsidRDefault="00B502AA">
            <w:pPr>
              <w:pStyle w:val="TableRowCentered"/>
              <w:jc w:val="left"/>
              <w:rPr>
                <w:sz w:val="22"/>
                <w:szCs w:val="22"/>
              </w:rPr>
            </w:pPr>
            <w:r w:rsidRPr="00755E2D">
              <w:rPr>
                <w:sz w:val="22"/>
                <w:szCs w:val="22"/>
              </w:rPr>
              <w:t>Place 2 Be-Staff CPD to identify and support students with mental health issues. Student support on Yr 7 and 8.</w:t>
            </w:r>
          </w:p>
          <w:p w14:paraId="64555713" w14:textId="77777777" w:rsidR="00B502AA" w:rsidRPr="00755E2D" w:rsidRDefault="00B502AA">
            <w:pPr>
              <w:pStyle w:val="TableRowCentered"/>
              <w:jc w:val="left"/>
              <w:rPr>
                <w:sz w:val="22"/>
                <w:szCs w:val="22"/>
              </w:rPr>
            </w:pPr>
            <w:r w:rsidRPr="00755E2D">
              <w:rPr>
                <w:sz w:val="22"/>
                <w:szCs w:val="22"/>
              </w:rPr>
              <w:t>Debate Mate- to enhance students’ confidence and self-esteem through oracy.</w:t>
            </w:r>
          </w:p>
          <w:p w14:paraId="7B18EBF1" w14:textId="77777777" w:rsidR="00B502AA" w:rsidRPr="00755E2D" w:rsidRDefault="00B502AA">
            <w:pPr>
              <w:pStyle w:val="TableRowCentered"/>
              <w:jc w:val="left"/>
              <w:rPr>
                <w:sz w:val="22"/>
                <w:szCs w:val="22"/>
              </w:rPr>
            </w:pPr>
          </w:p>
          <w:p w14:paraId="2A7D553D" w14:textId="4BF810E1" w:rsidR="00E66558" w:rsidRPr="00755E2D" w:rsidRDefault="00B502AA">
            <w:pPr>
              <w:pStyle w:val="TableRowCentered"/>
              <w:jc w:val="left"/>
              <w:rPr>
                <w:sz w:val="22"/>
                <w:szCs w:val="22"/>
              </w:rPr>
            </w:pPr>
            <w:r w:rsidRPr="00755E2D">
              <w:rPr>
                <w:sz w:val="22"/>
                <w:szCs w:val="22"/>
              </w:rPr>
              <w:t xml:space="preserve">Public Heath England Advice – </w:t>
            </w:r>
            <w:hyperlink r:id="rId22" w:history="1">
              <w:r w:rsidR="004D535F" w:rsidRPr="004D535F">
                <w:rPr>
                  <w:rStyle w:val="Hyperlink"/>
                  <w:sz w:val="22"/>
                  <w:szCs w:val="22"/>
                </w:rPr>
                <w:t>The link between pupil health and wellbeing and attainment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8EFD61D" w:rsidR="00E66558" w:rsidRDefault="00E461C1">
            <w:pPr>
              <w:pStyle w:val="TableRowCentered"/>
              <w:jc w:val="left"/>
              <w:rPr>
                <w:sz w:val="22"/>
              </w:rPr>
            </w:pPr>
            <w:r>
              <w:rPr>
                <w:sz w:val="22"/>
              </w:rPr>
              <w:t>4, 5</w:t>
            </w:r>
          </w:p>
        </w:tc>
      </w:tr>
      <w:tr w:rsidR="00B502AA" w14:paraId="4DCE58BA" w14:textId="77777777" w:rsidTr="00755E2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D8597" w14:textId="03DEF7A3" w:rsidR="00B502AA" w:rsidRPr="00755E2D" w:rsidRDefault="00B502AA">
            <w:pPr>
              <w:pStyle w:val="TableRow"/>
              <w:rPr>
                <w:sz w:val="22"/>
                <w:szCs w:val="22"/>
              </w:rPr>
            </w:pPr>
            <w:r w:rsidRPr="00755E2D">
              <w:rPr>
                <w:sz w:val="22"/>
                <w:szCs w:val="22"/>
              </w:rPr>
              <w:t>Increasing Parental engagement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5F15" w14:textId="42C83FB2" w:rsidR="00B502AA" w:rsidRPr="00755E2D" w:rsidRDefault="00B502AA" w:rsidP="00B502AA">
            <w:pPr>
              <w:pStyle w:val="TableRowCentered"/>
              <w:jc w:val="left"/>
              <w:rPr>
                <w:sz w:val="22"/>
                <w:szCs w:val="22"/>
              </w:rPr>
            </w:pPr>
            <w:r w:rsidRPr="00755E2D">
              <w:rPr>
                <w:sz w:val="22"/>
                <w:szCs w:val="22"/>
              </w:rPr>
              <w:t>Numeracy booklet launched to “explain new mathematical methods to pare</w:t>
            </w:r>
            <w:r w:rsidR="004D535F">
              <w:rPr>
                <w:sz w:val="22"/>
                <w:szCs w:val="22"/>
              </w:rPr>
              <w:t>nts “</w:t>
            </w:r>
            <w:r w:rsidRPr="00755E2D">
              <w:rPr>
                <w:sz w:val="22"/>
                <w:szCs w:val="22"/>
              </w:rPr>
              <w:t>numeracy activities for parents and students to do together.</w:t>
            </w:r>
          </w:p>
          <w:p w14:paraId="4CF70075" w14:textId="77777777" w:rsidR="00B502AA" w:rsidRPr="00755E2D" w:rsidRDefault="00B502AA" w:rsidP="00B502AA">
            <w:pPr>
              <w:pStyle w:val="TableRowCentered"/>
              <w:jc w:val="left"/>
              <w:rPr>
                <w:sz w:val="22"/>
                <w:szCs w:val="22"/>
              </w:rPr>
            </w:pPr>
          </w:p>
          <w:p w14:paraId="054B4E03" w14:textId="7E8FA1FA" w:rsidR="00B502AA" w:rsidRPr="00755E2D" w:rsidRDefault="00B502AA" w:rsidP="00B502AA">
            <w:pPr>
              <w:pStyle w:val="TableRowCentered"/>
              <w:jc w:val="left"/>
              <w:rPr>
                <w:sz w:val="22"/>
                <w:szCs w:val="22"/>
              </w:rPr>
            </w:pPr>
            <w:r w:rsidRPr="00755E2D">
              <w:rPr>
                <w:sz w:val="22"/>
                <w:szCs w:val="22"/>
              </w:rPr>
              <w:t xml:space="preserve">School cloud software purchase renewed to allow virtual parents evening events </w:t>
            </w:r>
            <w:r w:rsidR="008E0078" w:rsidRPr="00755E2D">
              <w:rPr>
                <w:sz w:val="22"/>
                <w:szCs w:val="22"/>
              </w:rPr>
              <w:t>to increase parental engagement</w:t>
            </w:r>
            <w:r w:rsidRPr="00755E2D">
              <w:rPr>
                <w:sz w:val="22"/>
                <w:szCs w:val="22"/>
              </w:rPr>
              <w:t>.</w:t>
            </w:r>
          </w:p>
          <w:p w14:paraId="7EFD2A0D" w14:textId="77777777" w:rsidR="00B502AA" w:rsidRPr="00755E2D" w:rsidRDefault="00B502AA" w:rsidP="00B502AA">
            <w:pPr>
              <w:pStyle w:val="TableRowCentered"/>
              <w:jc w:val="left"/>
              <w:rPr>
                <w:sz w:val="22"/>
                <w:szCs w:val="22"/>
              </w:rPr>
            </w:pPr>
          </w:p>
          <w:p w14:paraId="404B1B9A" w14:textId="04D8A442" w:rsidR="00002000" w:rsidRPr="00755E2D" w:rsidRDefault="008E0078" w:rsidP="00B502AA">
            <w:pPr>
              <w:pStyle w:val="TableRowCentered"/>
              <w:jc w:val="left"/>
              <w:rPr>
                <w:sz w:val="22"/>
                <w:szCs w:val="22"/>
              </w:rPr>
            </w:pPr>
            <w:r w:rsidRPr="00755E2D">
              <w:rPr>
                <w:sz w:val="22"/>
                <w:szCs w:val="22"/>
              </w:rPr>
              <w:t>Planned p</w:t>
            </w:r>
            <w:r w:rsidR="00B502AA" w:rsidRPr="00755E2D">
              <w:rPr>
                <w:sz w:val="22"/>
                <w:szCs w:val="22"/>
              </w:rPr>
              <w:t xml:space="preserve">urchase of App solution to allow parents access to key school information such as attendance, reports and behaviour incidents </w:t>
            </w:r>
          </w:p>
          <w:p w14:paraId="541B9C3F" w14:textId="5517B2A4" w:rsidR="00002000" w:rsidRPr="00755E2D" w:rsidRDefault="00002000" w:rsidP="00B502AA">
            <w:pPr>
              <w:pStyle w:val="TableRowCentered"/>
              <w:jc w:val="left"/>
              <w:rPr>
                <w:sz w:val="22"/>
                <w:szCs w:val="22"/>
              </w:rPr>
            </w:pPr>
          </w:p>
          <w:p w14:paraId="092D1E64" w14:textId="7D4680AD" w:rsidR="00002000" w:rsidRPr="00755E2D" w:rsidRDefault="00002000" w:rsidP="00B502AA">
            <w:pPr>
              <w:pStyle w:val="TableRowCentered"/>
              <w:jc w:val="left"/>
              <w:rPr>
                <w:sz w:val="22"/>
                <w:szCs w:val="22"/>
              </w:rPr>
            </w:pPr>
            <w:r w:rsidRPr="00755E2D">
              <w:rPr>
                <w:sz w:val="22"/>
                <w:szCs w:val="22"/>
              </w:rPr>
              <w:t>Deloitte parent workshop.</w:t>
            </w:r>
          </w:p>
          <w:p w14:paraId="2396EC8B" w14:textId="77777777" w:rsidR="00002000" w:rsidRPr="00755E2D" w:rsidRDefault="00002000" w:rsidP="00B502AA">
            <w:pPr>
              <w:pStyle w:val="TableRowCentered"/>
              <w:jc w:val="left"/>
              <w:rPr>
                <w:sz w:val="22"/>
                <w:szCs w:val="22"/>
              </w:rPr>
            </w:pPr>
          </w:p>
          <w:p w14:paraId="64DAEBD6" w14:textId="48BC5EE8" w:rsidR="00B502AA" w:rsidRPr="00755E2D" w:rsidRDefault="00B502AA" w:rsidP="00B502AA">
            <w:pPr>
              <w:pStyle w:val="TableRowCentered"/>
              <w:jc w:val="left"/>
              <w:rPr>
                <w:sz w:val="22"/>
                <w:szCs w:val="22"/>
              </w:rPr>
            </w:pPr>
            <w:r w:rsidRPr="00755E2D">
              <w:rPr>
                <w:sz w:val="22"/>
                <w:szCs w:val="22"/>
              </w:rPr>
              <w:t xml:space="preserve">EEF Teaching toolkit – </w:t>
            </w:r>
            <w:hyperlink r:id="rId23" w:history="1">
              <w:r w:rsidRPr="004D535F">
                <w:rPr>
                  <w:rStyle w:val="Hyperlink"/>
                  <w:sz w:val="22"/>
                  <w:szCs w:val="22"/>
                </w:rPr>
                <w:t>Parental Engagement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65DB" w14:textId="4CB997AA" w:rsidR="00B502AA" w:rsidRDefault="00E461C1">
            <w:pPr>
              <w:pStyle w:val="TableRowCentered"/>
              <w:jc w:val="left"/>
              <w:rPr>
                <w:sz w:val="22"/>
              </w:rPr>
            </w:pPr>
            <w:r>
              <w:rPr>
                <w:sz w:val="22"/>
              </w:rPr>
              <w:t>1, 2, 3, 4, 5, 6</w:t>
            </w:r>
          </w:p>
        </w:tc>
      </w:tr>
    </w:tbl>
    <w:p w14:paraId="2A7D5540" w14:textId="77777777" w:rsidR="00E66558" w:rsidRDefault="00E66558">
      <w:pPr>
        <w:spacing w:before="240" w:after="0"/>
        <w:rPr>
          <w:b/>
          <w:bCs/>
          <w:color w:val="104F75"/>
          <w:sz w:val="28"/>
          <w:szCs w:val="28"/>
        </w:rPr>
      </w:pPr>
    </w:p>
    <w:p w14:paraId="2A7D5541" w14:textId="6A61FB1A" w:rsidR="00E66558" w:rsidRDefault="009D71E8" w:rsidP="00120AB1">
      <w:r>
        <w:rPr>
          <w:b/>
          <w:bCs/>
          <w:color w:val="104F75"/>
          <w:sz w:val="28"/>
          <w:szCs w:val="28"/>
        </w:rPr>
        <w:t xml:space="preserve">Total budgeted cost: £ </w:t>
      </w:r>
      <w:r w:rsidR="00290322">
        <w:rPr>
          <w:color w:val="104F75"/>
          <w:sz w:val="28"/>
          <w:szCs w:val="28"/>
        </w:rPr>
        <w:t>516,600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535"/>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AAE0A" w14:textId="77777777" w:rsidR="00286757" w:rsidRDefault="00286757" w:rsidP="00286757">
            <w:r>
              <w:t>Outcomes for disadvantaged students have been constantly improving at Holly Lodge in line with the improved performance of the school overall. The 2024 disadvantaged cohort were the most successful to date, as demonstrated by the chart of Progress 8 performance shown below:</w:t>
            </w:r>
          </w:p>
          <w:p w14:paraId="5A137CF7" w14:textId="77777777" w:rsidR="00286757" w:rsidRDefault="00286757" w:rsidP="00286757">
            <w:pPr>
              <w:keepNext/>
              <w:jc w:val="center"/>
            </w:pPr>
            <w:r>
              <w:rPr>
                <w:noProof/>
              </w:rPr>
              <w:drawing>
                <wp:inline distT="0" distB="0" distL="0" distR="0" wp14:anchorId="19DF9C04" wp14:editId="32710A50">
                  <wp:extent cx="4642402" cy="3025947"/>
                  <wp:effectExtent l="19050" t="19050" r="25400"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1275" cy="3038249"/>
                          </a:xfrm>
                          <a:prstGeom prst="rect">
                            <a:avLst/>
                          </a:prstGeom>
                          <a:noFill/>
                          <a:ln>
                            <a:solidFill>
                              <a:schemeClr val="bg1">
                                <a:lumMod val="65000"/>
                              </a:schemeClr>
                            </a:solidFill>
                          </a:ln>
                        </pic:spPr>
                      </pic:pic>
                    </a:graphicData>
                  </a:graphic>
                </wp:inline>
              </w:drawing>
            </w:r>
          </w:p>
          <w:p w14:paraId="38ADE693" w14:textId="77777777" w:rsidR="00286757" w:rsidRDefault="00286757" w:rsidP="00286757">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rsidRPr="00DF7F48">
              <w:t>: Disadvantaged Student P8 over time (excludes Covid-19 effected years)</w:t>
            </w:r>
          </w:p>
          <w:p w14:paraId="02735CE3" w14:textId="77777777" w:rsidR="00286757" w:rsidRDefault="00286757" w:rsidP="00286757">
            <w:r>
              <w:t>In addition to increased progress being produced started by disadvantaged students, there is a trend of increased attainment from the same cohort. Attainment 8 has rise over the same period, as can be seen below:</w:t>
            </w:r>
          </w:p>
          <w:p w14:paraId="1EBF2EE2" w14:textId="77777777" w:rsidR="00286757" w:rsidRDefault="00286757" w:rsidP="00286757">
            <w:pPr>
              <w:keepNext/>
              <w:jc w:val="center"/>
            </w:pPr>
            <w:r>
              <w:rPr>
                <w:noProof/>
              </w:rPr>
              <w:lastRenderedPageBreak/>
              <w:drawing>
                <wp:inline distT="0" distB="0" distL="0" distR="0" wp14:anchorId="35A57621" wp14:editId="27B1AC60">
                  <wp:extent cx="4618690" cy="3011557"/>
                  <wp:effectExtent l="19050" t="19050" r="10795"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34352" cy="3021769"/>
                          </a:xfrm>
                          <a:prstGeom prst="rect">
                            <a:avLst/>
                          </a:prstGeom>
                          <a:noFill/>
                          <a:ln>
                            <a:solidFill>
                              <a:schemeClr val="bg1">
                                <a:lumMod val="75000"/>
                              </a:schemeClr>
                            </a:solidFill>
                          </a:ln>
                        </pic:spPr>
                      </pic:pic>
                    </a:graphicData>
                  </a:graphic>
                </wp:inline>
              </w:drawing>
            </w:r>
          </w:p>
          <w:p w14:paraId="27765358" w14:textId="77777777" w:rsidR="00286757" w:rsidRDefault="00286757" w:rsidP="00286757">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Disadvantaged Students A8 over time (excludes Covid-19 effected years)</w:t>
            </w:r>
          </w:p>
          <w:p w14:paraId="01682D24" w14:textId="77777777" w:rsidR="00286757" w:rsidRDefault="00286757" w:rsidP="00286757"/>
          <w:p w14:paraId="14986D36" w14:textId="77777777" w:rsidR="00286757" w:rsidRDefault="00286757" w:rsidP="00286757">
            <w:pPr>
              <w:pStyle w:val="Heading3"/>
            </w:pPr>
            <w:r>
              <w:t>English Baccalaureate:</w:t>
            </w:r>
          </w:p>
          <w:p w14:paraId="36A26DC3" w14:textId="77777777" w:rsidR="00286757" w:rsidRDefault="00286757" w:rsidP="00286757">
            <w:r>
              <w:t>Since 2017 the percentage of disadvantaged students accessing the full EBacc quite of qualifications has risen considerably. This can be seen below:</w:t>
            </w:r>
          </w:p>
          <w:tbl>
            <w:tblPr>
              <w:tblStyle w:val="GridTable5Dark-Accent5"/>
              <w:tblW w:w="92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03"/>
              <w:gridCol w:w="1239"/>
              <w:gridCol w:w="1239"/>
              <w:gridCol w:w="1239"/>
              <w:gridCol w:w="1239"/>
              <w:gridCol w:w="1239"/>
              <w:gridCol w:w="1072"/>
            </w:tblGrid>
            <w:tr w:rsidR="00286757" w14:paraId="49385336" w14:textId="77777777" w:rsidTr="00A9155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03" w:type="dxa"/>
                  <w:tcBorders>
                    <w:top w:val="none" w:sz="0" w:space="0" w:color="auto"/>
                    <w:left w:val="none" w:sz="0" w:space="0" w:color="auto"/>
                    <w:right w:val="none" w:sz="0" w:space="0" w:color="auto"/>
                  </w:tcBorders>
                </w:tcPr>
                <w:p w14:paraId="10599936" w14:textId="77777777" w:rsidR="00286757" w:rsidRDefault="00286757" w:rsidP="00286757">
                  <w:r>
                    <w:t>Year</w:t>
                  </w:r>
                </w:p>
              </w:tc>
              <w:tc>
                <w:tcPr>
                  <w:tcW w:w="1239" w:type="dxa"/>
                  <w:tcBorders>
                    <w:top w:val="none" w:sz="0" w:space="0" w:color="auto"/>
                    <w:left w:val="none" w:sz="0" w:space="0" w:color="auto"/>
                    <w:right w:val="none" w:sz="0" w:space="0" w:color="auto"/>
                  </w:tcBorders>
                </w:tcPr>
                <w:p w14:paraId="585773CC"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2017</w:t>
                  </w:r>
                </w:p>
              </w:tc>
              <w:tc>
                <w:tcPr>
                  <w:tcW w:w="1239" w:type="dxa"/>
                  <w:tcBorders>
                    <w:top w:val="none" w:sz="0" w:space="0" w:color="auto"/>
                    <w:left w:val="none" w:sz="0" w:space="0" w:color="auto"/>
                    <w:right w:val="none" w:sz="0" w:space="0" w:color="auto"/>
                  </w:tcBorders>
                </w:tcPr>
                <w:p w14:paraId="2E024861"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2018</w:t>
                  </w:r>
                </w:p>
              </w:tc>
              <w:tc>
                <w:tcPr>
                  <w:tcW w:w="1239" w:type="dxa"/>
                  <w:tcBorders>
                    <w:top w:val="none" w:sz="0" w:space="0" w:color="auto"/>
                    <w:left w:val="none" w:sz="0" w:space="0" w:color="auto"/>
                    <w:right w:val="none" w:sz="0" w:space="0" w:color="auto"/>
                  </w:tcBorders>
                </w:tcPr>
                <w:p w14:paraId="289F80F7"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2019</w:t>
                  </w:r>
                </w:p>
              </w:tc>
              <w:tc>
                <w:tcPr>
                  <w:tcW w:w="1239" w:type="dxa"/>
                  <w:tcBorders>
                    <w:top w:val="none" w:sz="0" w:space="0" w:color="auto"/>
                    <w:left w:val="none" w:sz="0" w:space="0" w:color="auto"/>
                    <w:right w:val="none" w:sz="0" w:space="0" w:color="auto"/>
                  </w:tcBorders>
                </w:tcPr>
                <w:p w14:paraId="0A234166"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2022</w:t>
                  </w:r>
                </w:p>
              </w:tc>
              <w:tc>
                <w:tcPr>
                  <w:tcW w:w="1239" w:type="dxa"/>
                  <w:tcBorders>
                    <w:top w:val="none" w:sz="0" w:space="0" w:color="auto"/>
                    <w:left w:val="none" w:sz="0" w:space="0" w:color="auto"/>
                    <w:right w:val="none" w:sz="0" w:space="0" w:color="auto"/>
                  </w:tcBorders>
                </w:tcPr>
                <w:p w14:paraId="0590AC57"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2023</w:t>
                  </w:r>
                </w:p>
              </w:tc>
              <w:tc>
                <w:tcPr>
                  <w:tcW w:w="1072" w:type="dxa"/>
                  <w:tcBorders>
                    <w:top w:val="none" w:sz="0" w:space="0" w:color="auto"/>
                    <w:left w:val="none" w:sz="0" w:space="0" w:color="auto"/>
                    <w:right w:val="none" w:sz="0" w:space="0" w:color="auto"/>
                  </w:tcBorders>
                </w:tcPr>
                <w:p w14:paraId="1A30479F" w14:textId="77777777" w:rsidR="00286757" w:rsidRPr="00633AED" w:rsidRDefault="00286757" w:rsidP="00286757">
                  <w:pPr>
                    <w:jc w:val="center"/>
                    <w:cnfStyle w:val="100000000000" w:firstRow="1" w:lastRow="0" w:firstColumn="0" w:lastColumn="0" w:oddVBand="0" w:evenVBand="0" w:oddHBand="0" w:evenHBand="0" w:firstRowFirstColumn="0" w:firstRowLastColumn="0" w:lastRowFirstColumn="0" w:lastRowLastColumn="0"/>
                  </w:pPr>
                  <w:r w:rsidRPr="00633AED">
                    <w:t>2024</w:t>
                  </w:r>
                </w:p>
              </w:tc>
            </w:tr>
            <w:tr w:rsidR="00286757" w14:paraId="36C6A029" w14:textId="77777777" w:rsidTr="00A9155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003" w:type="dxa"/>
                  <w:tcBorders>
                    <w:left w:val="none" w:sz="0" w:space="0" w:color="auto"/>
                    <w:bottom w:val="none" w:sz="0" w:space="0" w:color="auto"/>
                  </w:tcBorders>
                </w:tcPr>
                <w:p w14:paraId="10DD1E27" w14:textId="77777777" w:rsidR="00286757" w:rsidRDefault="00286757" w:rsidP="00286757">
                  <w:r>
                    <w:t>% Disadvantaged cohort taking Ebacc</w:t>
                  </w:r>
                </w:p>
              </w:tc>
              <w:tc>
                <w:tcPr>
                  <w:tcW w:w="1239" w:type="dxa"/>
                  <w:shd w:val="clear" w:color="auto" w:fill="auto"/>
                </w:tcPr>
                <w:p w14:paraId="0DDA885A"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17.6%</w:t>
                  </w:r>
                </w:p>
              </w:tc>
              <w:tc>
                <w:tcPr>
                  <w:tcW w:w="1239" w:type="dxa"/>
                  <w:shd w:val="clear" w:color="auto" w:fill="auto"/>
                </w:tcPr>
                <w:p w14:paraId="13AD916E"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24.6%</w:t>
                  </w:r>
                </w:p>
              </w:tc>
              <w:tc>
                <w:tcPr>
                  <w:tcW w:w="1239" w:type="dxa"/>
                  <w:shd w:val="clear" w:color="auto" w:fill="auto"/>
                </w:tcPr>
                <w:p w14:paraId="04B0ED4D"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33.8%</w:t>
                  </w:r>
                </w:p>
              </w:tc>
              <w:tc>
                <w:tcPr>
                  <w:tcW w:w="1239" w:type="dxa"/>
                  <w:shd w:val="clear" w:color="auto" w:fill="auto"/>
                </w:tcPr>
                <w:p w14:paraId="128C4944"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24.7%</w:t>
                  </w:r>
                </w:p>
              </w:tc>
              <w:tc>
                <w:tcPr>
                  <w:tcW w:w="1239" w:type="dxa"/>
                  <w:shd w:val="clear" w:color="auto" w:fill="auto"/>
                </w:tcPr>
                <w:p w14:paraId="2AE36236"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56.4%</w:t>
                  </w:r>
                </w:p>
              </w:tc>
              <w:tc>
                <w:tcPr>
                  <w:tcW w:w="1072" w:type="dxa"/>
                  <w:shd w:val="clear" w:color="auto" w:fill="auto"/>
                </w:tcPr>
                <w:p w14:paraId="703B8768"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47.0%</w:t>
                  </w:r>
                </w:p>
              </w:tc>
            </w:tr>
          </w:tbl>
          <w:p w14:paraId="7CFB16A3" w14:textId="77777777" w:rsidR="00286757" w:rsidRDefault="00286757" w:rsidP="00286757"/>
          <w:p w14:paraId="47A071F0" w14:textId="77777777" w:rsidR="00286757" w:rsidRDefault="00286757" w:rsidP="00286757">
            <w:r>
              <w:t>Over the same period the Average Point score for each Ebacc qualification slot that has been generated by Disadvantaged Students has grown, as shown below:</w:t>
            </w:r>
          </w:p>
          <w:p w14:paraId="713FCE70" w14:textId="77777777" w:rsidR="00286757" w:rsidRDefault="00286757" w:rsidP="00286757">
            <w:pPr>
              <w:pStyle w:val="Caption"/>
            </w:pPr>
            <w:r>
              <w:rPr>
                <w:noProof/>
              </w:rPr>
              <w:lastRenderedPageBreak/>
              <w:drawing>
                <wp:inline distT="0" distB="0" distL="0" distR="0" wp14:anchorId="662EB74A" wp14:editId="293A789C">
                  <wp:extent cx="4453559" cy="2905871"/>
                  <wp:effectExtent l="19050" t="19050" r="23495"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3609" cy="2918954"/>
                          </a:xfrm>
                          <a:prstGeom prst="rect">
                            <a:avLst/>
                          </a:prstGeom>
                          <a:noFill/>
                          <a:ln>
                            <a:solidFill>
                              <a:schemeClr val="bg1">
                                <a:lumMod val="65000"/>
                              </a:schemeClr>
                            </a:solidFill>
                          </a:ln>
                        </pic:spPr>
                      </pic:pic>
                    </a:graphicData>
                  </a:graphic>
                </wp:inline>
              </w:drawing>
            </w:r>
          </w:p>
          <w:p w14:paraId="37DF9F1E" w14:textId="77777777" w:rsidR="00286757" w:rsidRDefault="00286757" w:rsidP="00286757">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t>: Disadvantaged students Ebacc APS</w:t>
            </w:r>
          </w:p>
          <w:p w14:paraId="18E80244" w14:textId="77777777" w:rsidR="00286757" w:rsidRDefault="00286757" w:rsidP="00286757">
            <w:r>
              <w:t>Aligned with this progress the percentage of disadvantaged students passing the English Baccalaureate in each qualification at both 5+ (Strong Pass) and 4+ (standard pass) have increased. As shown below:</w:t>
            </w:r>
          </w:p>
          <w:p w14:paraId="17AB9F4E" w14:textId="77777777" w:rsidR="00286757" w:rsidRDefault="00286757" w:rsidP="00286757">
            <w:pPr>
              <w:keepNext/>
              <w:jc w:val="center"/>
            </w:pPr>
            <w:r>
              <w:rPr>
                <w:noProof/>
              </w:rPr>
              <w:drawing>
                <wp:inline distT="0" distB="0" distL="0" distR="0" wp14:anchorId="4331D3A3" wp14:editId="6990DB52">
                  <wp:extent cx="4600301" cy="3001617"/>
                  <wp:effectExtent l="19050" t="19050" r="10160" b="279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15734" cy="3011687"/>
                          </a:xfrm>
                          <a:prstGeom prst="rect">
                            <a:avLst/>
                          </a:prstGeom>
                          <a:noFill/>
                          <a:ln>
                            <a:solidFill>
                              <a:schemeClr val="bg1">
                                <a:lumMod val="65000"/>
                              </a:schemeClr>
                            </a:solidFill>
                          </a:ln>
                        </pic:spPr>
                      </pic:pic>
                    </a:graphicData>
                  </a:graphic>
                </wp:inline>
              </w:drawing>
            </w:r>
          </w:p>
          <w:p w14:paraId="2E0B3A72" w14:textId="77777777" w:rsidR="00286757" w:rsidRDefault="00286757" w:rsidP="00286757">
            <w:pPr>
              <w:pStyle w:val="Caption"/>
            </w:pPr>
            <w:r>
              <w:t xml:space="preserve">Figure </w:t>
            </w:r>
            <w:r>
              <w:fldChar w:fldCharType="begin"/>
            </w:r>
            <w:r>
              <w:instrText xml:space="preserve"> SEQ Figure \* ARABIC </w:instrText>
            </w:r>
            <w:r>
              <w:fldChar w:fldCharType="separate"/>
            </w:r>
            <w:r>
              <w:rPr>
                <w:noProof/>
              </w:rPr>
              <w:t>4</w:t>
            </w:r>
            <w:r>
              <w:rPr>
                <w:noProof/>
              </w:rPr>
              <w:fldChar w:fldCharType="end"/>
            </w:r>
            <w:r>
              <w:t>: Disadvantaged Students % Ebacc Pass</w:t>
            </w:r>
          </w:p>
          <w:p w14:paraId="7FCDE959" w14:textId="77777777" w:rsidR="00286757" w:rsidRDefault="00286757" w:rsidP="00286757">
            <w:pPr>
              <w:pStyle w:val="Heading3"/>
            </w:pPr>
          </w:p>
          <w:p w14:paraId="197DF58B" w14:textId="77777777" w:rsidR="00286757" w:rsidRPr="000E644E" w:rsidRDefault="00286757" w:rsidP="00286757"/>
          <w:p w14:paraId="104192DE" w14:textId="77777777" w:rsidR="00286757" w:rsidRDefault="00286757" w:rsidP="00286757">
            <w:pPr>
              <w:pStyle w:val="Heading3"/>
            </w:pPr>
            <w:r>
              <w:lastRenderedPageBreak/>
              <w:t>Performance compared to non-disadvantaged students:</w:t>
            </w:r>
          </w:p>
          <w:p w14:paraId="3EABF90F" w14:textId="77777777" w:rsidR="00286757" w:rsidRDefault="00286757" w:rsidP="00286757">
            <w:pPr>
              <w:jc w:val="both"/>
            </w:pPr>
            <w:r>
              <w:t>Students’ outcomes in 2024 for disadvantaged students at Key Stage 4 showed little difference in the progress made from Key Stage 2 when they are compared to their non-disadvantaged peers. The Overall Progress 8 Score, plus that generated in the separate elements of the calculation are shown below:</w:t>
            </w:r>
          </w:p>
          <w:tbl>
            <w:tblPr>
              <w:tblStyle w:val="GridTable5Dark-Accent5"/>
              <w:tblW w:w="9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53"/>
              <w:gridCol w:w="2804"/>
              <w:gridCol w:w="3292"/>
              <w:gridCol w:w="1065"/>
            </w:tblGrid>
            <w:tr w:rsidR="00286757" w14:paraId="0D93CCF4" w14:textId="77777777" w:rsidTr="00A91551">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67E86F1" w14:textId="77777777" w:rsidR="00286757" w:rsidRDefault="00286757" w:rsidP="00286757">
                  <w:r>
                    <w:t>Measure:</w:t>
                  </w:r>
                </w:p>
              </w:tc>
              <w:tc>
                <w:tcPr>
                  <w:tcW w:w="280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0BCB3B" w14:textId="77777777" w:rsidR="00286757" w:rsidRDefault="00286757" w:rsidP="00286757">
                  <w:pPr>
                    <w:jc w:val="center"/>
                    <w:cnfStyle w:val="100000000000" w:firstRow="1" w:lastRow="0" w:firstColumn="0" w:lastColumn="0" w:oddVBand="0" w:evenVBand="0" w:oddHBand="0" w:evenHBand="0" w:firstRowFirstColumn="0" w:firstRowLastColumn="0" w:lastRowFirstColumn="0" w:lastRowLastColumn="0"/>
                  </w:pPr>
                  <w:r>
                    <w:t>Disadvantaged Students</w:t>
                  </w:r>
                </w:p>
              </w:tc>
              <w:tc>
                <w:tcPr>
                  <w:tcW w:w="3292"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2805DB1" w14:textId="77777777" w:rsidR="00286757" w:rsidRDefault="00286757" w:rsidP="00286757">
                  <w:pPr>
                    <w:jc w:val="center"/>
                    <w:cnfStyle w:val="100000000000" w:firstRow="1" w:lastRow="0" w:firstColumn="0" w:lastColumn="0" w:oddVBand="0" w:evenVBand="0" w:oddHBand="0" w:evenHBand="0" w:firstRowFirstColumn="0" w:firstRowLastColumn="0" w:lastRowFirstColumn="0" w:lastRowLastColumn="0"/>
                  </w:pPr>
                  <w:r>
                    <w:t>Non-Disadvantaged Students</w:t>
                  </w:r>
                </w:p>
              </w:tc>
              <w:tc>
                <w:tcPr>
                  <w:tcW w:w="1065" w:type="dxa"/>
                  <w:tcBorders>
                    <w:top w:val="single" w:sz="4" w:space="0" w:color="808080" w:themeColor="background1" w:themeShade="80"/>
                    <w:left w:val="single" w:sz="4" w:space="0" w:color="808080" w:themeColor="background1" w:themeShade="80"/>
                    <w:right w:val="nil"/>
                  </w:tcBorders>
                </w:tcPr>
                <w:p w14:paraId="31971F2D" w14:textId="77777777" w:rsidR="00286757" w:rsidRDefault="00286757" w:rsidP="00286757">
                  <w:pPr>
                    <w:jc w:val="center"/>
                    <w:cnfStyle w:val="100000000000" w:firstRow="1" w:lastRow="0" w:firstColumn="0" w:lastColumn="0" w:oddVBand="0" w:evenVBand="0" w:oddHBand="0" w:evenHBand="0" w:firstRowFirstColumn="0" w:firstRowLastColumn="0" w:lastRowFirstColumn="0" w:lastRowLastColumn="0"/>
                  </w:pPr>
                  <w:r>
                    <w:t>Gap</w:t>
                  </w:r>
                </w:p>
              </w:tc>
            </w:tr>
            <w:tr w:rsidR="00286757" w14:paraId="6135E21B" w14:textId="77777777" w:rsidTr="00A91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Borders>
                    <w:left w:val="single" w:sz="4" w:space="0" w:color="808080" w:themeColor="background1" w:themeShade="80"/>
                  </w:tcBorders>
                  <w:shd w:val="clear" w:color="auto" w:fill="FFFFFF" w:themeFill="background1"/>
                </w:tcPr>
                <w:p w14:paraId="7A2A6AAE" w14:textId="77777777" w:rsidR="00286757" w:rsidRPr="00960B5A" w:rsidRDefault="00286757" w:rsidP="00286757">
                  <w:pPr>
                    <w:rPr>
                      <w:color w:val="auto"/>
                    </w:rPr>
                  </w:pPr>
                  <w:r w:rsidRPr="00960B5A">
                    <w:rPr>
                      <w:color w:val="auto"/>
                    </w:rPr>
                    <w:t>Overall Progress 8</w:t>
                  </w:r>
                </w:p>
              </w:tc>
              <w:tc>
                <w:tcPr>
                  <w:tcW w:w="2804" w:type="dxa"/>
                  <w:shd w:val="clear" w:color="auto" w:fill="auto"/>
                </w:tcPr>
                <w:p w14:paraId="484B7E56"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-0.04</w:t>
                  </w:r>
                </w:p>
              </w:tc>
              <w:tc>
                <w:tcPr>
                  <w:tcW w:w="3292" w:type="dxa"/>
                  <w:shd w:val="clear" w:color="auto" w:fill="auto"/>
                </w:tcPr>
                <w:p w14:paraId="133A7D17"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0.01</w:t>
                  </w:r>
                </w:p>
              </w:tc>
              <w:tc>
                <w:tcPr>
                  <w:tcW w:w="1065" w:type="dxa"/>
                  <w:shd w:val="clear" w:color="auto" w:fill="auto"/>
                </w:tcPr>
                <w:p w14:paraId="45DD98A6"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-0.05</w:t>
                  </w:r>
                </w:p>
              </w:tc>
            </w:tr>
            <w:tr w:rsidR="00286757" w14:paraId="5D10C952" w14:textId="77777777" w:rsidTr="00A91551">
              <w:tc>
                <w:tcPr>
                  <w:cnfStyle w:val="001000000000" w:firstRow="0" w:lastRow="0" w:firstColumn="1" w:lastColumn="0" w:oddVBand="0" w:evenVBand="0" w:oddHBand="0" w:evenHBand="0" w:firstRowFirstColumn="0" w:firstRowLastColumn="0" w:lastRowFirstColumn="0" w:lastRowLastColumn="0"/>
                  <w:tcW w:w="2153" w:type="dxa"/>
                  <w:tcBorders>
                    <w:left w:val="single" w:sz="4" w:space="0" w:color="808080" w:themeColor="background1" w:themeShade="80"/>
                  </w:tcBorders>
                  <w:shd w:val="clear" w:color="auto" w:fill="DAEEF3" w:themeFill="accent5" w:themeFillTint="33"/>
                </w:tcPr>
                <w:p w14:paraId="6B3022C9" w14:textId="77777777" w:rsidR="00286757" w:rsidRPr="00960B5A" w:rsidRDefault="00286757" w:rsidP="00286757">
                  <w:pPr>
                    <w:rPr>
                      <w:color w:val="auto"/>
                    </w:rPr>
                  </w:pPr>
                  <w:r w:rsidRPr="00960B5A">
                    <w:rPr>
                      <w:color w:val="auto"/>
                    </w:rPr>
                    <w:t>English Progress 8</w:t>
                  </w:r>
                </w:p>
              </w:tc>
              <w:tc>
                <w:tcPr>
                  <w:tcW w:w="2804" w:type="dxa"/>
                </w:tcPr>
                <w:p w14:paraId="30B37853"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-0.07</w:t>
                  </w:r>
                </w:p>
              </w:tc>
              <w:tc>
                <w:tcPr>
                  <w:tcW w:w="3292" w:type="dxa"/>
                </w:tcPr>
                <w:p w14:paraId="701BD301"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0.32</w:t>
                  </w:r>
                </w:p>
              </w:tc>
              <w:tc>
                <w:tcPr>
                  <w:tcW w:w="1065" w:type="dxa"/>
                </w:tcPr>
                <w:p w14:paraId="767AB8CF"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-0.39</w:t>
                  </w:r>
                </w:p>
              </w:tc>
            </w:tr>
            <w:tr w:rsidR="00286757" w14:paraId="47255DCE" w14:textId="77777777" w:rsidTr="00A91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Borders>
                    <w:left w:val="single" w:sz="4" w:space="0" w:color="808080" w:themeColor="background1" w:themeShade="80"/>
                  </w:tcBorders>
                  <w:shd w:val="clear" w:color="auto" w:fill="FFFFFF" w:themeFill="background1"/>
                </w:tcPr>
                <w:p w14:paraId="68082CD2" w14:textId="77777777" w:rsidR="00286757" w:rsidRPr="00960B5A" w:rsidRDefault="00286757" w:rsidP="00286757">
                  <w:pPr>
                    <w:rPr>
                      <w:color w:val="auto"/>
                    </w:rPr>
                  </w:pPr>
                  <w:r w:rsidRPr="00960B5A">
                    <w:rPr>
                      <w:color w:val="auto"/>
                    </w:rPr>
                    <w:t>Maths Progress 8</w:t>
                  </w:r>
                </w:p>
              </w:tc>
              <w:tc>
                <w:tcPr>
                  <w:tcW w:w="2804" w:type="dxa"/>
                  <w:shd w:val="clear" w:color="auto" w:fill="auto"/>
                </w:tcPr>
                <w:p w14:paraId="1CAC72EC"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-0.02</w:t>
                  </w:r>
                </w:p>
              </w:tc>
              <w:tc>
                <w:tcPr>
                  <w:tcW w:w="3292" w:type="dxa"/>
                  <w:shd w:val="clear" w:color="auto" w:fill="auto"/>
                </w:tcPr>
                <w:p w14:paraId="1EC17A2A"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0.03</w:t>
                  </w:r>
                </w:p>
              </w:tc>
              <w:tc>
                <w:tcPr>
                  <w:tcW w:w="1065" w:type="dxa"/>
                  <w:shd w:val="clear" w:color="auto" w:fill="auto"/>
                </w:tcPr>
                <w:p w14:paraId="7F785A19"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-0.05</w:t>
                  </w:r>
                </w:p>
              </w:tc>
            </w:tr>
            <w:tr w:rsidR="00286757" w14:paraId="1E272911" w14:textId="77777777" w:rsidTr="00A91551">
              <w:tc>
                <w:tcPr>
                  <w:cnfStyle w:val="001000000000" w:firstRow="0" w:lastRow="0" w:firstColumn="1" w:lastColumn="0" w:oddVBand="0" w:evenVBand="0" w:oddHBand="0" w:evenHBand="0" w:firstRowFirstColumn="0" w:firstRowLastColumn="0" w:lastRowFirstColumn="0" w:lastRowLastColumn="0"/>
                  <w:tcW w:w="2153" w:type="dxa"/>
                  <w:tcBorders>
                    <w:left w:val="single" w:sz="4" w:space="0" w:color="808080" w:themeColor="background1" w:themeShade="80"/>
                  </w:tcBorders>
                  <w:shd w:val="clear" w:color="auto" w:fill="DAEEF3" w:themeFill="accent5" w:themeFillTint="33"/>
                </w:tcPr>
                <w:p w14:paraId="7F8C70E3" w14:textId="77777777" w:rsidR="00286757" w:rsidRPr="00960B5A" w:rsidRDefault="00286757" w:rsidP="00286757">
                  <w:pPr>
                    <w:rPr>
                      <w:color w:val="auto"/>
                    </w:rPr>
                  </w:pPr>
                  <w:r w:rsidRPr="00960B5A">
                    <w:rPr>
                      <w:color w:val="auto"/>
                    </w:rPr>
                    <w:t>Ebacc Progress 8</w:t>
                  </w:r>
                </w:p>
              </w:tc>
              <w:tc>
                <w:tcPr>
                  <w:tcW w:w="2804" w:type="dxa"/>
                </w:tcPr>
                <w:p w14:paraId="49D3B87D"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-0.12</w:t>
                  </w:r>
                </w:p>
              </w:tc>
              <w:tc>
                <w:tcPr>
                  <w:tcW w:w="3292" w:type="dxa"/>
                </w:tcPr>
                <w:p w14:paraId="5A596F59"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-0.23</w:t>
                  </w:r>
                </w:p>
              </w:tc>
              <w:tc>
                <w:tcPr>
                  <w:tcW w:w="1065" w:type="dxa"/>
                </w:tcPr>
                <w:p w14:paraId="34117E4D" w14:textId="77777777" w:rsidR="00286757" w:rsidRDefault="00286757" w:rsidP="00286757">
                  <w:pPr>
                    <w:jc w:val="center"/>
                    <w:cnfStyle w:val="000000000000" w:firstRow="0" w:lastRow="0" w:firstColumn="0" w:lastColumn="0" w:oddVBand="0" w:evenVBand="0" w:oddHBand="0" w:evenHBand="0" w:firstRowFirstColumn="0" w:firstRowLastColumn="0" w:lastRowFirstColumn="0" w:lastRowLastColumn="0"/>
                  </w:pPr>
                  <w:r>
                    <w:t>+0.11</w:t>
                  </w:r>
                </w:p>
              </w:tc>
            </w:tr>
            <w:tr w:rsidR="00286757" w14:paraId="71B3CD80" w14:textId="77777777" w:rsidTr="00A91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Borders>
                    <w:left w:val="single" w:sz="4" w:space="0" w:color="808080" w:themeColor="background1" w:themeShade="80"/>
                    <w:bottom w:val="single" w:sz="4" w:space="0" w:color="808080" w:themeColor="background1" w:themeShade="80"/>
                  </w:tcBorders>
                  <w:shd w:val="clear" w:color="auto" w:fill="FFFFFF" w:themeFill="background1"/>
                </w:tcPr>
                <w:p w14:paraId="5F5F2387" w14:textId="77777777" w:rsidR="00286757" w:rsidRPr="00960B5A" w:rsidRDefault="00286757" w:rsidP="00286757">
                  <w:pPr>
                    <w:rPr>
                      <w:color w:val="auto"/>
                    </w:rPr>
                  </w:pPr>
                  <w:r w:rsidRPr="00960B5A">
                    <w:rPr>
                      <w:color w:val="auto"/>
                    </w:rPr>
                    <w:t>Open Progress 8</w:t>
                  </w:r>
                </w:p>
              </w:tc>
              <w:tc>
                <w:tcPr>
                  <w:tcW w:w="2804" w:type="dxa"/>
                  <w:shd w:val="clear" w:color="auto" w:fill="auto"/>
                </w:tcPr>
                <w:p w14:paraId="5FE2CE47"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-0.06</w:t>
                  </w:r>
                </w:p>
              </w:tc>
              <w:tc>
                <w:tcPr>
                  <w:tcW w:w="3292" w:type="dxa"/>
                  <w:shd w:val="clear" w:color="auto" w:fill="auto"/>
                </w:tcPr>
                <w:p w14:paraId="1B106AA3"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0.02</w:t>
                  </w:r>
                </w:p>
              </w:tc>
              <w:tc>
                <w:tcPr>
                  <w:tcW w:w="1065" w:type="dxa"/>
                  <w:shd w:val="clear" w:color="auto" w:fill="auto"/>
                </w:tcPr>
                <w:p w14:paraId="5FD7B7D2" w14:textId="77777777" w:rsidR="00286757" w:rsidRDefault="00286757" w:rsidP="00286757">
                  <w:pPr>
                    <w:jc w:val="center"/>
                    <w:cnfStyle w:val="000000100000" w:firstRow="0" w:lastRow="0" w:firstColumn="0" w:lastColumn="0" w:oddVBand="0" w:evenVBand="0" w:oddHBand="1" w:evenHBand="0" w:firstRowFirstColumn="0" w:firstRowLastColumn="0" w:lastRowFirstColumn="0" w:lastRowLastColumn="0"/>
                  </w:pPr>
                  <w:r>
                    <w:t>-0.08</w:t>
                  </w:r>
                </w:p>
              </w:tc>
            </w:tr>
          </w:tbl>
          <w:p w14:paraId="5023926C" w14:textId="3F233AFC" w:rsidR="0064167B" w:rsidRPr="002F4C6F" w:rsidRDefault="0064167B"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0FCEB04" w:rsidR="00E66558" w:rsidRDefault="00002000">
            <w:pPr>
              <w:pStyle w:val="TableRow"/>
            </w:pPr>
            <w:r>
              <w:t>Mentoring from a network of professional female role models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655A63E" w:rsidR="00E66558" w:rsidRDefault="00002000">
            <w:pPr>
              <w:pStyle w:val="TableRowCentered"/>
              <w:jc w:val="left"/>
            </w:pPr>
            <w:r>
              <w:t>Girls’ Network</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C748312" w:rsidR="00E66558" w:rsidRDefault="00002000">
            <w:pPr>
              <w:pStyle w:val="TableRow"/>
            </w:pPr>
            <w:r>
              <w:t>Liverpool Hope University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5EAEAC6" w:rsidR="00E66558" w:rsidRDefault="00002000">
            <w:pPr>
              <w:pStyle w:val="TableRowCentered"/>
              <w:jc w:val="left"/>
            </w:pPr>
            <w:r>
              <w:t>Hope Opportunity Trust</w:t>
            </w:r>
          </w:p>
        </w:tc>
      </w:tr>
      <w:tr w:rsidR="00002000" w14:paraId="6C4FF3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ED3B" w14:textId="1FBDB85C" w:rsidR="00002000" w:rsidRDefault="00002000">
            <w:pPr>
              <w:pStyle w:val="TableRow"/>
            </w:pPr>
            <w:r>
              <w:t>Inspire and Reaching Higher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EDF0" w14:textId="3A2B0B9D" w:rsidR="00002000" w:rsidRDefault="00002000">
            <w:pPr>
              <w:pStyle w:val="TableRowCentered"/>
              <w:jc w:val="left"/>
            </w:pPr>
            <w:r>
              <w:t>Aspire Liverpool</w:t>
            </w:r>
          </w:p>
        </w:tc>
      </w:tr>
      <w:tr w:rsidR="008E0078" w14:paraId="10A81E6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3D152" w14:textId="255D96F7" w:rsidR="008E0078" w:rsidRDefault="008E0078">
            <w:pPr>
              <w:pStyle w:val="TableRow"/>
            </w:pPr>
            <w:r>
              <w:t>Academic conference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12CD" w14:textId="75785141" w:rsidR="008E0078" w:rsidRDefault="008E0078">
            <w:pPr>
              <w:pStyle w:val="TableRowCentered"/>
              <w:jc w:val="left"/>
            </w:pPr>
            <w:r>
              <w:t>Rugby School</w:t>
            </w:r>
          </w:p>
        </w:tc>
      </w:tr>
    </w:tbl>
    <w:p w14:paraId="2A7D5553" w14:textId="193B71B2" w:rsidR="00E66558" w:rsidRDefault="00E66558"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5C9E2BAF" w:rsidR="00ED5108" w:rsidRDefault="00002000">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EB0CFDC" w:rsidR="00ED5108" w:rsidRDefault="00002000">
            <w:r>
              <w:t>n/a</w:t>
            </w:r>
          </w:p>
        </w:tc>
      </w:tr>
    </w:tbl>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0DAC" w14:textId="77777777" w:rsidR="00002000" w:rsidRPr="00755E2D" w:rsidRDefault="00002000">
            <w:pPr>
              <w:spacing w:before="120" w:after="120"/>
              <w:rPr>
                <w:sz w:val="22"/>
                <w:szCs w:val="22"/>
              </w:rPr>
            </w:pPr>
            <w:r w:rsidRPr="00755E2D">
              <w:rPr>
                <w:sz w:val="22"/>
                <w:szCs w:val="22"/>
              </w:rPr>
              <w:t>Our pupil premium strategy will be supplemented by additional activity that is not being funded by pupil premium or recovery premium. That will include:</w:t>
            </w:r>
          </w:p>
          <w:p w14:paraId="5ADAEBD4" w14:textId="77777777" w:rsidR="00002000" w:rsidRPr="00755E2D" w:rsidRDefault="00002000" w:rsidP="00002000">
            <w:pPr>
              <w:pStyle w:val="ListParagraph"/>
              <w:numPr>
                <w:ilvl w:val="0"/>
                <w:numId w:val="24"/>
              </w:numPr>
              <w:spacing w:before="120" w:after="120"/>
              <w:rPr>
                <w:sz w:val="22"/>
                <w:szCs w:val="22"/>
              </w:rPr>
            </w:pPr>
            <w:r w:rsidRPr="00755E2D">
              <w:rPr>
                <w:sz w:val="22"/>
                <w:szCs w:val="22"/>
              </w:rPr>
              <w:t>offering a wide range of high-quality extracurricular activities to boost wellbeing, behaviour, attendance, and aspiration. Activities (e.g., The Duke of Edinburgh’s Award), will focus on building life skills such as confidence, resilience, and socialising. Disadvantaged students will be encouraged and supported to participate.</w:t>
            </w:r>
          </w:p>
          <w:p w14:paraId="581EDAD1" w14:textId="77777777" w:rsidR="00002000" w:rsidRPr="00755E2D" w:rsidRDefault="00002000" w:rsidP="00002000">
            <w:pPr>
              <w:pStyle w:val="ListParagraph"/>
              <w:numPr>
                <w:ilvl w:val="0"/>
                <w:numId w:val="24"/>
              </w:numPr>
              <w:spacing w:before="120" w:after="120"/>
              <w:rPr>
                <w:sz w:val="22"/>
                <w:szCs w:val="22"/>
              </w:rPr>
            </w:pPr>
            <w:r w:rsidRPr="00755E2D">
              <w:rPr>
                <w:sz w:val="22"/>
                <w:szCs w:val="22"/>
              </w:rPr>
              <w:t>A range of aspiration activities which have been developed with high quality partners such as The Girls Network and the Hope Opportunity Trust. Which provide access to support programmes and Further Education opportunities which can be sued to further inspire Disadvantaged students to engage with their academic studies.</w:t>
            </w:r>
          </w:p>
          <w:p w14:paraId="74B3BE34" w14:textId="77777777" w:rsidR="00002000" w:rsidRPr="00755E2D" w:rsidRDefault="00002000" w:rsidP="00002000">
            <w:pPr>
              <w:pStyle w:val="ListParagraph"/>
              <w:numPr>
                <w:ilvl w:val="0"/>
                <w:numId w:val="24"/>
              </w:numPr>
              <w:spacing w:before="120" w:after="120"/>
              <w:rPr>
                <w:sz w:val="22"/>
                <w:szCs w:val="22"/>
              </w:rPr>
            </w:pPr>
            <w:r w:rsidRPr="00755E2D">
              <w:rPr>
                <w:sz w:val="22"/>
                <w:szCs w:val="22"/>
              </w:rPr>
              <w:t>Continuing to embed more effective practice around questioning and feedback. EEF evidence demonstrates this has significant benefits for students, particularly disadvantaged students</w:t>
            </w:r>
          </w:p>
          <w:p w14:paraId="24757E3D" w14:textId="77777777" w:rsidR="00002000" w:rsidRPr="00755E2D" w:rsidRDefault="00002000">
            <w:pPr>
              <w:spacing w:before="120" w:after="120"/>
              <w:rPr>
                <w:sz w:val="22"/>
                <w:szCs w:val="22"/>
                <w:u w:val="single"/>
              </w:rPr>
            </w:pPr>
            <w:r w:rsidRPr="00755E2D">
              <w:rPr>
                <w:sz w:val="22"/>
                <w:szCs w:val="22"/>
                <w:u w:val="single"/>
              </w:rPr>
              <w:t>Planning, implementation, and evaluation:</w:t>
            </w:r>
          </w:p>
          <w:p w14:paraId="2F413CAA" w14:textId="77777777" w:rsidR="00002000" w:rsidRPr="00755E2D" w:rsidRDefault="00002000">
            <w:pPr>
              <w:spacing w:before="120" w:after="120"/>
              <w:rPr>
                <w:sz w:val="22"/>
                <w:szCs w:val="22"/>
              </w:rPr>
            </w:pPr>
            <w:r w:rsidRPr="00755E2D">
              <w:rPr>
                <w:sz w:val="22"/>
                <w:szCs w:val="22"/>
              </w:rPr>
              <w:t xml:space="preserve">In planning our new pupil premium strategy, we evaluated activities undertaken in previous years and reviewed the degree of impact that they expected. We also engage with a Local Authority working part which is targeted to sharing best practice in supporting disadvantaged students. </w:t>
            </w:r>
          </w:p>
          <w:p w14:paraId="40B607D8" w14:textId="77777777" w:rsidR="00002000" w:rsidRPr="00755E2D" w:rsidRDefault="00002000">
            <w:pPr>
              <w:spacing w:before="120" w:after="120"/>
              <w:rPr>
                <w:sz w:val="22"/>
                <w:szCs w:val="22"/>
              </w:rPr>
            </w:pPr>
            <w:r w:rsidRPr="00755E2D">
              <w:rPr>
                <w:sz w:val="22"/>
                <w:szCs w:val="22"/>
              </w:rPr>
              <w:t xml:space="preserve">We triangulated evidence from multiple sources of data including assessments, learning walks demonstrating engagement in class, book scrutiny, and conversations with parents, students &amp; teachers in order to identify the challenges faced by disadvantaged students. </w:t>
            </w:r>
          </w:p>
          <w:p w14:paraId="01BA0680" w14:textId="77777777" w:rsidR="00002000" w:rsidRPr="00755E2D" w:rsidRDefault="00002000">
            <w:pPr>
              <w:spacing w:before="120" w:after="120"/>
              <w:rPr>
                <w:sz w:val="22"/>
                <w:szCs w:val="22"/>
              </w:rPr>
            </w:pPr>
            <w:r w:rsidRPr="00755E2D">
              <w:rPr>
                <w:sz w:val="22"/>
                <w:szCs w:val="22"/>
              </w:rPr>
              <w:t xml:space="preserve">We looked at a number of reports and studies about effective use of pupil premium, the impact of disadvantage on education outcomes and how to address challenges to learning presented by socio-economic disadvantage. We also looked at a number of studies about the impact of the pandemic on disadvantaged students, in particular their well-being. </w:t>
            </w:r>
          </w:p>
          <w:p w14:paraId="3CFE670C" w14:textId="77777777" w:rsidR="00002000" w:rsidRPr="00755E2D" w:rsidRDefault="00002000">
            <w:pPr>
              <w:spacing w:before="120" w:after="120"/>
              <w:rPr>
                <w:sz w:val="22"/>
                <w:szCs w:val="22"/>
              </w:rPr>
            </w:pPr>
            <w:r w:rsidRPr="00755E2D">
              <w:rPr>
                <w:sz w:val="22"/>
                <w:szCs w:val="22"/>
              </w:rPr>
              <w:t xml:space="preserve">We used the EEF’s implementation guidance to help us develop our strategy and will continue to use it through the implementation of our activities. </w:t>
            </w:r>
          </w:p>
          <w:p w14:paraId="2A7D5562" w14:textId="076B5DE9" w:rsidR="00E66558" w:rsidRPr="00AA355B" w:rsidRDefault="00002000">
            <w:pPr>
              <w:spacing w:before="120" w:after="120"/>
              <w:rPr>
                <w:rFonts w:cs="Arial"/>
                <w:i/>
                <w:iCs/>
              </w:rPr>
            </w:pPr>
            <w:r w:rsidRPr="00755E2D">
              <w:rPr>
                <w:sz w:val="22"/>
                <w:szCs w:val="22"/>
              </w:rPr>
              <w:t>We have put a robust evaluation framework in place for the duration of our three-year approach, including oversight from out governing body and will adjust our plan over time to secure better outcomes for students.</w:t>
            </w:r>
          </w:p>
        </w:tc>
      </w:tr>
      <w:bookmarkEnd w:id="14"/>
      <w:bookmarkEnd w:id="15"/>
      <w:bookmarkEnd w:id="16"/>
    </w:tbl>
    <w:p w14:paraId="2A7D5564" w14:textId="77777777" w:rsidR="00E66558" w:rsidRDefault="00E66558"/>
    <w:sectPr w:rsidR="00E66558">
      <w:headerReference w:type="default" r:id="rId2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A8590E3" w:rsidR="00C373EA" w:rsidRDefault="009D71E8">
    <w:pPr>
      <w:pStyle w:val="Footer"/>
      <w:ind w:firstLine="4513"/>
    </w:pPr>
    <w:r>
      <w:fldChar w:fldCharType="begin"/>
    </w:r>
    <w:r>
      <w:instrText xml:space="preserve"> PAGE </w:instrText>
    </w:r>
    <w:r>
      <w:fldChar w:fldCharType="separate"/>
    </w:r>
    <w:r w:rsidR="002509FC">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6F4"/>
    <w:multiLevelType w:val="hybridMultilevel"/>
    <w:tmpl w:val="CB34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021D1"/>
    <w:multiLevelType w:val="hybridMultilevel"/>
    <w:tmpl w:val="24425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AF5E38"/>
    <w:multiLevelType w:val="hybridMultilevel"/>
    <w:tmpl w:val="BE729E40"/>
    <w:lvl w:ilvl="0" w:tplc="85E412FC">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7C61"/>
    <w:multiLevelType w:val="hybridMultilevel"/>
    <w:tmpl w:val="D1BEF7C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ED4CB3"/>
    <w:multiLevelType w:val="hybridMultilevel"/>
    <w:tmpl w:val="6E68F9D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2A55E00"/>
    <w:multiLevelType w:val="hybridMultilevel"/>
    <w:tmpl w:val="DBF839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745B37"/>
    <w:multiLevelType w:val="hybridMultilevel"/>
    <w:tmpl w:val="3CB66CF6"/>
    <w:lvl w:ilvl="0" w:tplc="FF481D60">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4B4CA3"/>
    <w:multiLevelType w:val="hybridMultilevel"/>
    <w:tmpl w:val="7C1E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57B96"/>
    <w:multiLevelType w:val="hybridMultilevel"/>
    <w:tmpl w:val="1174F9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E61F27"/>
    <w:multiLevelType w:val="hybridMultilevel"/>
    <w:tmpl w:val="C172AA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9"/>
  </w:num>
  <w:num w:numId="2">
    <w:abstractNumId w:val="5"/>
  </w:num>
  <w:num w:numId="3">
    <w:abstractNumId w:val="11"/>
  </w:num>
  <w:num w:numId="4">
    <w:abstractNumId w:val="12"/>
  </w:num>
  <w:num w:numId="5">
    <w:abstractNumId w:val="3"/>
  </w:num>
  <w:num w:numId="6">
    <w:abstractNumId w:val="13"/>
  </w:num>
  <w:num w:numId="7">
    <w:abstractNumId w:val="18"/>
  </w:num>
  <w:num w:numId="8">
    <w:abstractNumId w:val="22"/>
  </w:num>
  <w:num w:numId="9">
    <w:abstractNumId w:val="20"/>
  </w:num>
  <w:num w:numId="10">
    <w:abstractNumId w:val="19"/>
  </w:num>
  <w:num w:numId="11">
    <w:abstractNumId w:val="7"/>
  </w:num>
  <w:num w:numId="12">
    <w:abstractNumId w:val="21"/>
  </w:num>
  <w:num w:numId="13">
    <w:abstractNumId w:val="15"/>
  </w:num>
  <w:num w:numId="14">
    <w:abstractNumId w:val="14"/>
  </w:num>
  <w:num w:numId="15">
    <w:abstractNumId w:val="10"/>
  </w:num>
  <w:num w:numId="16">
    <w:abstractNumId w:val="2"/>
  </w:num>
  <w:num w:numId="17">
    <w:abstractNumId w:val="1"/>
  </w:num>
  <w:num w:numId="18">
    <w:abstractNumId w:val="0"/>
  </w:num>
  <w:num w:numId="19">
    <w:abstractNumId w:val="8"/>
  </w:num>
  <w:num w:numId="20">
    <w:abstractNumId w:val="6"/>
  </w:num>
  <w:num w:numId="21">
    <w:abstractNumId w:val="4"/>
  </w:num>
  <w:num w:numId="22">
    <w:abstractNumId w:val="1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00"/>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A7F"/>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09FC"/>
    <w:rsid w:val="00251072"/>
    <w:rsid w:val="002523E3"/>
    <w:rsid w:val="00252AD6"/>
    <w:rsid w:val="002542CE"/>
    <w:rsid w:val="00257A4E"/>
    <w:rsid w:val="00266FA5"/>
    <w:rsid w:val="00276FBA"/>
    <w:rsid w:val="00277665"/>
    <w:rsid w:val="002837AE"/>
    <w:rsid w:val="00286757"/>
    <w:rsid w:val="00290322"/>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41585"/>
    <w:rsid w:val="00351D83"/>
    <w:rsid w:val="00352197"/>
    <w:rsid w:val="00352EE0"/>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16"/>
    <w:rsid w:val="003B14C1"/>
    <w:rsid w:val="003B2884"/>
    <w:rsid w:val="003B588A"/>
    <w:rsid w:val="003B621D"/>
    <w:rsid w:val="003C4388"/>
    <w:rsid w:val="003C4C27"/>
    <w:rsid w:val="003C7F7B"/>
    <w:rsid w:val="003D0CD6"/>
    <w:rsid w:val="003D1FFD"/>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535F"/>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3EAB"/>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3BB1"/>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354C"/>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5E2D"/>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6375"/>
    <w:rsid w:val="008C7DD3"/>
    <w:rsid w:val="008E000B"/>
    <w:rsid w:val="008E0078"/>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598E"/>
    <w:rsid w:val="00A8712A"/>
    <w:rsid w:val="00A95F75"/>
    <w:rsid w:val="00A968DA"/>
    <w:rsid w:val="00A96B83"/>
    <w:rsid w:val="00AA355B"/>
    <w:rsid w:val="00AA42E5"/>
    <w:rsid w:val="00AB24FA"/>
    <w:rsid w:val="00AB4D24"/>
    <w:rsid w:val="00AD7B5A"/>
    <w:rsid w:val="00AE229F"/>
    <w:rsid w:val="00AF5E20"/>
    <w:rsid w:val="00B002FA"/>
    <w:rsid w:val="00B00327"/>
    <w:rsid w:val="00B024B3"/>
    <w:rsid w:val="00B0367A"/>
    <w:rsid w:val="00B11DE8"/>
    <w:rsid w:val="00B179ED"/>
    <w:rsid w:val="00B20E18"/>
    <w:rsid w:val="00B331E1"/>
    <w:rsid w:val="00B34EA4"/>
    <w:rsid w:val="00B502AA"/>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0240"/>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E6FFA"/>
    <w:rsid w:val="00DF2015"/>
    <w:rsid w:val="00E061EC"/>
    <w:rsid w:val="00E106EF"/>
    <w:rsid w:val="00E10E81"/>
    <w:rsid w:val="00E13E51"/>
    <w:rsid w:val="00E21F56"/>
    <w:rsid w:val="00E3014F"/>
    <w:rsid w:val="00E4286E"/>
    <w:rsid w:val="00E43EAD"/>
    <w:rsid w:val="00E461C1"/>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610B"/>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uiPriority w:val="35"/>
    <w:qFormat/>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table" w:styleId="GridTable5Dark-Accent5">
    <w:name w:val="Grid Table 5 Dark Accent 5"/>
    <w:basedOn w:val="TableNormal"/>
    <w:uiPriority w:val="50"/>
    <w:rsid w:val="00286757"/>
    <w:pPr>
      <w:autoSpaceDN/>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fault">
    <w:name w:val="Default"/>
    <w:rsid w:val="00B0367A"/>
    <w:pPr>
      <w:autoSpaceDE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using-pupil-premium" TargetMode="External"/><Relationship Id="rId13" Type="http://schemas.openxmlformats.org/officeDocument/2006/relationships/hyperlink" Target="https://educationendowmentfoundation.org.uk/education-evidence/using-pupil-premium" TargetMode="External"/><Relationship Id="rId18" Type="http://schemas.openxmlformats.org/officeDocument/2006/relationships/hyperlink" Target="https://educationendowmentfoundation.org.uk/education-evidence/teaching-learning-toolkit/summer-schools"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370686/HT_briefing_layoutvFINALvii.pdf" TargetMode="External"/><Relationship Id="rId7" Type="http://schemas.openxmlformats.org/officeDocument/2006/relationships/hyperlink" Target="https://educationendowmentfoundation.org.uk/education-evidence/using-pupil-premium" TargetMode="Externa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ducation-evidence/teaching-learning-toolkit/mentor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p.com.cn/test/word-gap.pdf"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educationendowmentfoundation.org.uk/education-evidence/using-pupil-premium" TargetMode="External"/><Relationship Id="rId23" Type="http://schemas.openxmlformats.org/officeDocument/2006/relationships/hyperlink" Target="https://educationendowmentfoundation.org.uk/education-evidence/teaching-learning-toolkit/parental-engagement" TargetMode="External"/><Relationship Id="rId28" Type="http://schemas.openxmlformats.org/officeDocument/2006/relationships/header" Target="header1.xml"/><Relationship Id="rId10" Type="http://schemas.openxmlformats.org/officeDocument/2006/relationships/hyperlink" Target="https://educationendowmentfoundation.org.uk/education-evidence/guidance-reports/literacy-ks3-ks4"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metacognition-and-self-regulation" TargetMode="External"/><Relationship Id="rId14" Type="http://schemas.openxmlformats.org/officeDocument/2006/relationships/hyperlink" Target="https://educationendowmentfoundation.org.uk/education-evidence/using-pupil-premium" TargetMode="External"/><Relationship Id="rId22" Type="http://schemas.openxmlformats.org/officeDocument/2006/relationships/hyperlink" Target="https://assets.publishing.service.gov.uk/government/uploads/system/uploads/attachment_data/file/370686/HT_briefing_layoutvFINALvii.pdf"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14</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HLGC</cp:lastModifiedBy>
  <cp:revision>11</cp:revision>
  <cp:lastPrinted>2014-09-18T05:26:00Z</cp:lastPrinted>
  <dcterms:created xsi:type="dcterms:W3CDTF">2024-09-26T10:01:00Z</dcterms:created>
  <dcterms:modified xsi:type="dcterms:W3CDTF">2024-10-07T19:42:00Z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