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682"/>
      </w:tblGrid>
      <w:tr w:rsidR="00CA3B93" w:rsidTr="00CA3B93">
        <w:tc>
          <w:tcPr>
            <w:tcW w:w="10682" w:type="dxa"/>
          </w:tcPr>
          <w:p w:rsidR="00CA3B93" w:rsidRPr="00B24526" w:rsidRDefault="00CA3B93" w:rsidP="009B0211">
            <w:r w:rsidRPr="00CA3B93">
              <w:rPr>
                <w:b/>
                <w:sz w:val="28"/>
              </w:rPr>
              <w:t xml:space="preserve">Curriculum Plan for Parents </w:t>
            </w:r>
            <w:r>
              <w:rPr>
                <w:b/>
                <w:sz w:val="28"/>
              </w:rPr>
              <w:t>–</w:t>
            </w:r>
            <w:r w:rsidRPr="00CA3B93">
              <w:rPr>
                <w:b/>
                <w:sz w:val="28"/>
              </w:rPr>
              <w:t xml:space="preserve"> Year</w:t>
            </w:r>
            <w:r>
              <w:rPr>
                <w:b/>
                <w:sz w:val="28"/>
              </w:rPr>
              <w:t xml:space="preserve"> </w:t>
            </w:r>
            <w:r w:rsidR="009B0211">
              <w:rPr>
                <w:sz w:val="28"/>
              </w:rPr>
              <w:t>9</w:t>
            </w:r>
          </w:p>
        </w:tc>
      </w:tr>
    </w:tbl>
    <w:p w:rsidR="005F43EC" w:rsidRPr="00CA3B93" w:rsidRDefault="005F43EC">
      <w:pPr>
        <w:rPr>
          <w:sz w:val="2"/>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rPr>
            </w:pPr>
            <w:r w:rsidRPr="00CA3B93">
              <w:rPr>
                <w:b/>
              </w:rPr>
              <w:t>Subject</w:t>
            </w:r>
          </w:p>
        </w:tc>
        <w:tc>
          <w:tcPr>
            <w:tcW w:w="3531" w:type="dxa"/>
          </w:tcPr>
          <w:p w:rsidR="00CA3B93" w:rsidRDefault="00B24526">
            <w:r>
              <w:t>RE</w:t>
            </w:r>
          </w:p>
        </w:tc>
        <w:tc>
          <w:tcPr>
            <w:tcW w:w="2281" w:type="dxa"/>
          </w:tcPr>
          <w:p w:rsidR="00CA3B93" w:rsidRPr="00CA3B93" w:rsidRDefault="00CA3B93">
            <w:pPr>
              <w:rPr>
                <w:b/>
              </w:rPr>
            </w:pPr>
            <w:r w:rsidRPr="00CA3B93">
              <w:rPr>
                <w:b/>
              </w:rPr>
              <w:t>Contact Person</w:t>
            </w:r>
          </w:p>
        </w:tc>
        <w:tc>
          <w:tcPr>
            <w:tcW w:w="3061" w:type="dxa"/>
          </w:tcPr>
          <w:p w:rsidR="00CA3B93" w:rsidRDefault="00B24526">
            <w:r>
              <w:t>Miss T Lee</w:t>
            </w:r>
          </w:p>
        </w:tc>
      </w:tr>
    </w:tbl>
    <w:p w:rsidR="00CA3B93" w:rsidRPr="00CA3B93" w:rsidRDefault="00CA3B93">
      <w:pPr>
        <w:rPr>
          <w:sz w:val="4"/>
          <w:szCs w:val="16"/>
        </w:rPr>
      </w:pPr>
    </w:p>
    <w:tbl>
      <w:tblPr>
        <w:tblStyle w:val="TableGrid"/>
        <w:tblW w:w="0" w:type="auto"/>
        <w:tblLook w:val="04A0" w:firstRow="1" w:lastRow="0" w:firstColumn="1" w:lastColumn="0" w:noHBand="0" w:noVBand="1"/>
      </w:tblPr>
      <w:tblGrid>
        <w:gridCol w:w="1809"/>
        <w:gridCol w:w="3531"/>
        <w:gridCol w:w="2281"/>
        <w:gridCol w:w="3061"/>
      </w:tblGrid>
      <w:tr w:rsidR="00CA3B93" w:rsidTr="00CA3B93">
        <w:tc>
          <w:tcPr>
            <w:tcW w:w="1809" w:type="dxa"/>
          </w:tcPr>
          <w:p w:rsidR="00CA3B93" w:rsidRPr="00CA3B93" w:rsidRDefault="00CA3B93">
            <w:pPr>
              <w:rPr>
                <w:b/>
                <w:sz w:val="28"/>
              </w:rPr>
            </w:pPr>
            <w:r w:rsidRPr="00CA3B93">
              <w:rPr>
                <w:b/>
                <w:sz w:val="28"/>
              </w:rPr>
              <w:t>Half term and topic</w:t>
            </w:r>
          </w:p>
        </w:tc>
        <w:tc>
          <w:tcPr>
            <w:tcW w:w="3531" w:type="dxa"/>
          </w:tcPr>
          <w:p w:rsidR="00CA3B93" w:rsidRPr="00CA3B93" w:rsidRDefault="00CA3B93">
            <w:pPr>
              <w:rPr>
                <w:b/>
                <w:sz w:val="28"/>
              </w:rPr>
            </w:pPr>
            <w:r w:rsidRPr="00CA3B93">
              <w:rPr>
                <w:b/>
                <w:sz w:val="28"/>
              </w:rPr>
              <w:t>Your child will learn....</w:t>
            </w:r>
          </w:p>
        </w:tc>
        <w:tc>
          <w:tcPr>
            <w:tcW w:w="2281" w:type="dxa"/>
          </w:tcPr>
          <w:p w:rsidR="00CA3B93" w:rsidRPr="00CA3B93" w:rsidRDefault="00CA3B93">
            <w:pPr>
              <w:rPr>
                <w:b/>
                <w:sz w:val="28"/>
              </w:rPr>
            </w:pPr>
            <w:r w:rsidRPr="00CA3B93">
              <w:rPr>
                <w:b/>
                <w:sz w:val="28"/>
              </w:rPr>
              <w:t>Key Homework</w:t>
            </w:r>
          </w:p>
        </w:tc>
        <w:tc>
          <w:tcPr>
            <w:tcW w:w="3061" w:type="dxa"/>
          </w:tcPr>
          <w:p w:rsidR="00CA3B93" w:rsidRPr="00CA3B93" w:rsidRDefault="00CA3B93">
            <w:pPr>
              <w:rPr>
                <w:b/>
                <w:sz w:val="28"/>
              </w:rPr>
            </w:pPr>
            <w:r w:rsidRPr="00CA3B93">
              <w:rPr>
                <w:b/>
                <w:sz w:val="28"/>
              </w:rPr>
              <w:t>Assessment</w:t>
            </w:r>
          </w:p>
        </w:tc>
      </w:tr>
      <w:tr w:rsidR="00CA3B93" w:rsidTr="00CA3B93">
        <w:tc>
          <w:tcPr>
            <w:tcW w:w="1809" w:type="dxa"/>
          </w:tcPr>
          <w:p w:rsidR="00CA3B93" w:rsidRDefault="00CA3B93">
            <w:r>
              <w:t>Autumn 1</w:t>
            </w:r>
          </w:p>
          <w:p w:rsidR="00CA3B93" w:rsidRPr="009B0211" w:rsidRDefault="009B0211">
            <w:pPr>
              <w:rPr>
                <w:b/>
              </w:rPr>
            </w:pPr>
            <w:r>
              <w:rPr>
                <w:b/>
              </w:rPr>
              <w:t>Islam Today</w:t>
            </w:r>
          </w:p>
          <w:p w:rsidR="00CA3B93" w:rsidRDefault="00CA3B93"/>
          <w:p w:rsidR="00CA3B93" w:rsidRDefault="00CA3B93"/>
          <w:p w:rsidR="00CA3B93" w:rsidRDefault="00CA3B93"/>
          <w:p w:rsidR="00CA3B93" w:rsidRDefault="00CA3B93"/>
        </w:tc>
        <w:tc>
          <w:tcPr>
            <w:tcW w:w="3531" w:type="dxa"/>
          </w:tcPr>
          <w:p w:rsidR="009B0211" w:rsidRPr="009B0211" w:rsidRDefault="009B0211" w:rsidP="009B0211">
            <w:pPr>
              <w:rPr>
                <w:rFonts w:ascii="Comic Sans MS" w:hAnsi="Comic Sans MS"/>
              </w:rPr>
            </w:pPr>
            <w:r>
              <w:rPr>
                <w:rFonts w:ascii="Comic Sans MS" w:hAnsi="Comic Sans MS"/>
              </w:rPr>
              <w:t>This unit is designed to investigate the origin and beliefs in Islam and to provide students with the skills needed to discuss and challenge injustices around religion</w:t>
            </w:r>
          </w:p>
          <w:p w:rsidR="00CA3B93" w:rsidRDefault="009B0211" w:rsidP="009B0211">
            <w:pPr>
              <w:pStyle w:val="ListParagraph"/>
              <w:numPr>
                <w:ilvl w:val="0"/>
                <w:numId w:val="15"/>
              </w:numPr>
              <w:rPr>
                <w:rFonts w:ascii="Comic Sans MS" w:hAnsi="Comic Sans MS"/>
              </w:rPr>
            </w:pPr>
            <w:r w:rsidRPr="009B0211">
              <w:rPr>
                <w:rFonts w:ascii="Comic Sans MS" w:hAnsi="Comic Sans MS"/>
              </w:rPr>
              <w:t xml:space="preserve">The origins of Islam </w:t>
            </w:r>
          </w:p>
          <w:p w:rsidR="009B0211" w:rsidRDefault="009B0211" w:rsidP="009B0211">
            <w:pPr>
              <w:pStyle w:val="ListParagraph"/>
              <w:numPr>
                <w:ilvl w:val="0"/>
                <w:numId w:val="15"/>
              </w:numPr>
              <w:rPr>
                <w:rFonts w:ascii="Comic Sans MS" w:hAnsi="Comic Sans MS"/>
              </w:rPr>
            </w:pPr>
            <w:r>
              <w:rPr>
                <w:rFonts w:ascii="Comic Sans MS" w:hAnsi="Comic Sans MS"/>
              </w:rPr>
              <w:t>Key beliefs and practices</w:t>
            </w:r>
          </w:p>
          <w:p w:rsidR="009B0211" w:rsidRPr="009B0211" w:rsidRDefault="009B0211" w:rsidP="009B0211">
            <w:pPr>
              <w:pStyle w:val="ListParagraph"/>
              <w:numPr>
                <w:ilvl w:val="0"/>
                <w:numId w:val="15"/>
              </w:numPr>
              <w:rPr>
                <w:rFonts w:ascii="Comic Sans MS" w:hAnsi="Comic Sans MS"/>
              </w:rPr>
            </w:pPr>
            <w:r>
              <w:rPr>
                <w:rFonts w:ascii="Comic Sans MS" w:hAnsi="Comic Sans MS"/>
              </w:rPr>
              <w:t>How the Qur’an is viewed</w:t>
            </w:r>
          </w:p>
        </w:tc>
        <w:tc>
          <w:tcPr>
            <w:tcW w:w="2281" w:type="dxa"/>
          </w:tcPr>
          <w:p w:rsidR="00CA3B93" w:rsidRDefault="009612F3">
            <w:r>
              <w:t>Identify a way in which Islam is portrayed in the media</w:t>
            </w:r>
          </w:p>
        </w:tc>
        <w:tc>
          <w:tcPr>
            <w:tcW w:w="3061" w:type="dxa"/>
          </w:tcPr>
          <w:p w:rsidR="00B24526" w:rsidRDefault="009B0211" w:rsidP="009B0211">
            <w:pPr>
              <w:pStyle w:val="ListParagraph"/>
              <w:numPr>
                <w:ilvl w:val="0"/>
                <w:numId w:val="16"/>
              </w:numPr>
            </w:pPr>
            <w:r>
              <w:t>Question on the</w:t>
            </w:r>
            <w:r>
              <w:t xml:space="preserve"> way in which </w:t>
            </w:r>
            <w:r>
              <w:t>beliefs a</w:t>
            </w:r>
            <w:r>
              <w:t>ffect communities</w:t>
            </w:r>
          </w:p>
        </w:tc>
      </w:tr>
      <w:tr w:rsidR="00CA3B93" w:rsidTr="00CA3B93">
        <w:tc>
          <w:tcPr>
            <w:tcW w:w="1809" w:type="dxa"/>
          </w:tcPr>
          <w:p w:rsidR="00CA3B93" w:rsidRDefault="00CA3B93">
            <w:r>
              <w:t>Autumn 2</w:t>
            </w:r>
          </w:p>
          <w:p w:rsidR="00A86FB7" w:rsidRPr="009B0211" w:rsidRDefault="00A86FB7" w:rsidP="00A86FB7">
            <w:pPr>
              <w:rPr>
                <w:b/>
              </w:rPr>
            </w:pPr>
            <w:r>
              <w:rPr>
                <w:b/>
              </w:rPr>
              <w:t>Islam Today</w:t>
            </w:r>
            <w:r>
              <w:rPr>
                <w:b/>
              </w:rPr>
              <w:t xml:space="preserve"> (cont’d)</w:t>
            </w:r>
          </w:p>
          <w:p w:rsidR="00CA3B93" w:rsidRDefault="00CA3B93" w:rsidP="008812F3"/>
        </w:tc>
        <w:tc>
          <w:tcPr>
            <w:tcW w:w="3531" w:type="dxa"/>
          </w:tcPr>
          <w:p w:rsidR="009B0211" w:rsidRDefault="009B0211" w:rsidP="009B0211">
            <w:pPr>
              <w:pStyle w:val="ListParagraph"/>
              <w:numPr>
                <w:ilvl w:val="0"/>
                <w:numId w:val="16"/>
              </w:numPr>
            </w:pPr>
            <w:r>
              <w:t>Differing interpretations of religious views on charity, poverty, dress, war and peace</w:t>
            </w:r>
          </w:p>
        </w:tc>
        <w:tc>
          <w:tcPr>
            <w:tcW w:w="2281" w:type="dxa"/>
          </w:tcPr>
          <w:p w:rsidR="00CA3B93" w:rsidRDefault="00A86FB7">
            <w:r>
              <w:t>Learn key words</w:t>
            </w:r>
          </w:p>
        </w:tc>
        <w:tc>
          <w:tcPr>
            <w:tcW w:w="3061" w:type="dxa"/>
          </w:tcPr>
          <w:p w:rsidR="009B0211" w:rsidRDefault="009B0211" w:rsidP="009B0211">
            <w:pPr>
              <w:pStyle w:val="ListParagraph"/>
              <w:numPr>
                <w:ilvl w:val="0"/>
                <w:numId w:val="16"/>
              </w:numPr>
            </w:pPr>
            <w:r>
              <w:t>Knowledge test</w:t>
            </w:r>
          </w:p>
          <w:p w:rsidR="00CA3B93" w:rsidRDefault="009B0211" w:rsidP="009B0211">
            <w:pPr>
              <w:pStyle w:val="ListParagraph"/>
              <w:numPr>
                <w:ilvl w:val="0"/>
                <w:numId w:val="16"/>
              </w:numPr>
            </w:pPr>
            <w:r>
              <w:t xml:space="preserve">Question on </w:t>
            </w:r>
            <w:r>
              <w:t>the wearing of the veil</w:t>
            </w:r>
          </w:p>
        </w:tc>
      </w:tr>
      <w:tr w:rsidR="00CA3B93" w:rsidTr="00CA3B93">
        <w:tc>
          <w:tcPr>
            <w:tcW w:w="1809" w:type="dxa"/>
          </w:tcPr>
          <w:p w:rsidR="00CA3B93" w:rsidRDefault="00CA3B93">
            <w:r>
              <w:t>Spring 1</w:t>
            </w:r>
          </w:p>
          <w:p w:rsidR="009612F3" w:rsidRPr="009612F3" w:rsidRDefault="009612F3">
            <w:pPr>
              <w:rPr>
                <w:b/>
              </w:rPr>
            </w:pPr>
            <w:r w:rsidRPr="009612F3">
              <w:rPr>
                <w:b/>
              </w:rPr>
              <w:t>The Jewish Response to the Holocaust</w:t>
            </w:r>
          </w:p>
          <w:p w:rsidR="00CA3B93" w:rsidRDefault="00CA3B93"/>
        </w:tc>
        <w:tc>
          <w:tcPr>
            <w:tcW w:w="3531" w:type="dxa"/>
          </w:tcPr>
          <w:p w:rsidR="00CA3B93" w:rsidRDefault="009612F3" w:rsidP="009B0211">
            <w:pPr>
              <w:rPr>
                <w:rFonts w:cstheme="minorHAnsi"/>
              </w:rPr>
            </w:pPr>
            <w:r>
              <w:rPr>
                <w:rFonts w:cstheme="minorHAnsi"/>
              </w:rPr>
              <w:t>This unit is designed to enable students to explore the Holocaust as a result of religious hatred and intolerance. Students study the religious background and the ways in which the Jewish religion was a source of persecution whilst, for many, being a source of hope</w:t>
            </w:r>
          </w:p>
          <w:p w:rsidR="009612F3" w:rsidRDefault="009612F3" w:rsidP="009612F3">
            <w:pPr>
              <w:pStyle w:val="ListParagraph"/>
              <w:numPr>
                <w:ilvl w:val="0"/>
                <w:numId w:val="17"/>
              </w:numPr>
              <w:rPr>
                <w:rFonts w:cstheme="minorHAnsi"/>
              </w:rPr>
            </w:pPr>
            <w:r>
              <w:rPr>
                <w:rFonts w:cstheme="minorHAnsi"/>
              </w:rPr>
              <w:t>Anti-Semitism</w:t>
            </w:r>
          </w:p>
          <w:p w:rsidR="009612F3" w:rsidRDefault="009612F3" w:rsidP="009612F3">
            <w:pPr>
              <w:pStyle w:val="ListParagraph"/>
              <w:numPr>
                <w:ilvl w:val="0"/>
                <w:numId w:val="17"/>
              </w:numPr>
              <w:rPr>
                <w:rFonts w:cstheme="minorHAnsi"/>
              </w:rPr>
            </w:pPr>
            <w:r>
              <w:rPr>
                <w:rFonts w:cstheme="minorHAnsi"/>
              </w:rPr>
              <w:t>Nuremburg laws (and their effect on religious practice)</w:t>
            </w:r>
          </w:p>
          <w:p w:rsidR="009612F3" w:rsidRPr="009612F3" w:rsidRDefault="009612F3" w:rsidP="009612F3">
            <w:pPr>
              <w:pStyle w:val="ListParagraph"/>
              <w:numPr>
                <w:ilvl w:val="0"/>
                <w:numId w:val="17"/>
              </w:numPr>
              <w:rPr>
                <w:rFonts w:cstheme="minorHAnsi"/>
              </w:rPr>
            </w:pPr>
            <w:r>
              <w:rPr>
                <w:rFonts w:cstheme="minorHAnsi"/>
              </w:rPr>
              <w:t>Practices in the ghetto</w:t>
            </w:r>
          </w:p>
        </w:tc>
        <w:tc>
          <w:tcPr>
            <w:tcW w:w="2281" w:type="dxa"/>
          </w:tcPr>
          <w:p w:rsidR="00CA3B93" w:rsidRDefault="00A86FB7">
            <w:r>
              <w:t>Are there some things that you would never give up even if it threatened your safety? Why or why not?</w:t>
            </w:r>
          </w:p>
        </w:tc>
        <w:tc>
          <w:tcPr>
            <w:tcW w:w="3061" w:type="dxa"/>
          </w:tcPr>
          <w:p w:rsidR="00CA3B93" w:rsidRDefault="009612F3" w:rsidP="009612F3">
            <w:pPr>
              <w:pStyle w:val="ListParagraph"/>
              <w:numPr>
                <w:ilvl w:val="0"/>
                <w:numId w:val="17"/>
              </w:numPr>
            </w:pPr>
            <w:r>
              <w:t>Question regarding the effect of ghetto life on the observing of religious traditions</w:t>
            </w:r>
          </w:p>
        </w:tc>
      </w:tr>
      <w:tr w:rsidR="00CA3B93" w:rsidTr="00CA3B93">
        <w:tc>
          <w:tcPr>
            <w:tcW w:w="1809" w:type="dxa"/>
          </w:tcPr>
          <w:p w:rsidR="00CA3B93" w:rsidRDefault="00CA3B93" w:rsidP="00BC04F5">
            <w:r>
              <w:t>Spring 2</w:t>
            </w:r>
          </w:p>
          <w:p w:rsidR="00891725" w:rsidRPr="009612F3" w:rsidRDefault="00891725" w:rsidP="00891725">
            <w:pPr>
              <w:rPr>
                <w:b/>
              </w:rPr>
            </w:pPr>
            <w:r w:rsidRPr="009612F3">
              <w:rPr>
                <w:b/>
              </w:rPr>
              <w:t>The Jewish Response to the Holocaust</w:t>
            </w:r>
          </w:p>
          <w:p w:rsidR="00A86FB7" w:rsidRPr="009B0211" w:rsidRDefault="00A86FB7" w:rsidP="00A86FB7">
            <w:pPr>
              <w:rPr>
                <w:b/>
              </w:rPr>
            </w:pPr>
            <w:r>
              <w:rPr>
                <w:b/>
              </w:rPr>
              <w:t>(cont’d)</w:t>
            </w:r>
          </w:p>
          <w:p w:rsidR="00A86FB7" w:rsidRDefault="00A86FB7" w:rsidP="00BC04F5"/>
        </w:tc>
        <w:tc>
          <w:tcPr>
            <w:tcW w:w="3531" w:type="dxa"/>
          </w:tcPr>
          <w:p w:rsidR="00CA3B93" w:rsidRDefault="009612F3" w:rsidP="009612F3">
            <w:pPr>
              <w:pStyle w:val="ListParagraph"/>
              <w:numPr>
                <w:ilvl w:val="0"/>
                <w:numId w:val="18"/>
              </w:numPr>
              <w:rPr>
                <w:rFonts w:cstheme="minorHAnsi"/>
              </w:rPr>
            </w:pPr>
            <w:r>
              <w:rPr>
                <w:rFonts w:cstheme="minorHAnsi"/>
              </w:rPr>
              <w:t>Studies of people who lost or kept their faith</w:t>
            </w:r>
          </w:p>
          <w:p w:rsidR="009612F3" w:rsidRDefault="009612F3" w:rsidP="009612F3">
            <w:pPr>
              <w:pStyle w:val="ListParagraph"/>
              <w:numPr>
                <w:ilvl w:val="0"/>
                <w:numId w:val="18"/>
              </w:numPr>
              <w:rPr>
                <w:rFonts w:cstheme="minorHAnsi"/>
              </w:rPr>
            </w:pPr>
            <w:r>
              <w:rPr>
                <w:rFonts w:cstheme="minorHAnsi"/>
              </w:rPr>
              <w:t>Survivor stories and the effect on their faith</w:t>
            </w:r>
          </w:p>
          <w:p w:rsidR="009612F3" w:rsidRPr="009612F3" w:rsidRDefault="009612F3" w:rsidP="009612F3">
            <w:pPr>
              <w:pStyle w:val="ListParagraph"/>
              <w:numPr>
                <w:ilvl w:val="0"/>
                <w:numId w:val="18"/>
              </w:numPr>
              <w:rPr>
                <w:rFonts w:cstheme="minorHAnsi"/>
              </w:rPr>
            </w:pPr>
            <w:r>
              <w:rPr>
                <w:rFonts w:cstheme="minorHAnsi"/>
              </w:rPr>
              <w:t>God and the Covenant: Can God exist when we are faced with this amount of suffering?</w:t>
            </w:r>
          </w:p>
        </w:tc>
        <w:tc>
          <w:tcPr>
            <w:tcW w:w="2281" w:type="dxa"/>
          </w:tcPr>
          <w:p w:rsidR="0082126B" w:rsidRDefault="00A86FB7">
            <w:r>
              <w:t>Learn key words</w:t>
            </w:r>
          </w:p>
          <w:p w:rsidR="00891725" w:rsidRDefault="00891725">
            <w:r>
              <w:t>Revise</w:t>
            </w:r>
          </w:p>
        </w:tc>
        <w:tc>
          <w:tcPr>
            <w:tcW w:w="3061" w:type="dxa"/>
          </w:tcPr>
          <w:p w:rsidR="0082126B" w:rsidRDefault="00A86FB7" w:rsidP="00A86FB7">
            <w:pPr>
              <w:pStyle w:val="ListParagraph"/>
              <w:numPr>
                <w:ilvl w:val="0"/>
                <w:numId w:val="19"/>
              </w:numPr>
            </w:pPr>
            <w:r>
              <w:t>Knowledge test</w:t>
            </w:r>
          </w:p>
          <w:p w:rsidR="00891725" w:rsidRDefault="00891725" w:rsidP="00A86FB7">
            <w:pPr>
              <w:pStyle w:val="ListParagraph"/>
              <w:numPr>
                <w:ilvl w:val="0"/>
                <w:numId w:val="19"/>
              </w:numPr>
            </w:pPr>
            <w:proofErr w:type="spellStart"/>
            <w:r>
              <w:t>Mid Year</w:t>
            </w:r>
            <w:proofErr w:type="spellEnd"/>
            <w:r>
              <w:t xml:space="preserve"> exam covering all elements to this point</w:t>
            </w:r>
          </w:p>
        </w:tc>
      </w:tr>
      <w:tr w:rsidR="00CA3B93" w:rsidTr="00CA3B93">
        <w:tc>
          <w:tcPr>
            <w:tcW w:w="1809" w:type="dxa"/>
          </w:tcPr>
          <w:p w:rsidR="00CA3B93" w:rsidRDefault="00CA3B93" w:rsidP="00BC04F5">
            <w:r>
              <w:t>Summer 1</w:t>
            </w:r>
          </w:p>
          <w:p w:rsidR="009612F3" w:rsidRPr="009612F3" w:rsidRDefault="009612F3" w:rsidP="00BC04F5">
            <w:pPr>
              <w:rPr>
                <w:b/>
              </w:rPr>
            </w:pPr>
            <w:r>
              <w:rPr>
                <w:b/>
              </w:rPr>
              <w:t>Believing in God (or not)</w:t>
            </w:r>
          </w:p>
        </w:tc>
        <w:tc>
          <w:tcPr>
            <w:tcW w:w="3531" w:type="dxa"/>
          </w:tcPr>
          <w:p w:rsidR="00A86FB7" w:rsidRDefault="00A86FB7" w:rsidP="00A86FB7">
            <w:pPr>
              <w:rPr>
                <w:rFonts w:cstheme="minorHAnsi"/>
              </w:rPr>
            </w:pPr>
            <w:r>
              <w:rPr>
                <w:rFonts w:cstheme="minorHAnsi"/>
              </w:rPr>
              <w:t xml:space="preserve">This unit is designed to enable students to explore </w:t>
            </w:r>
            <w:r>
              <w:rPr>
                <w:rFonts w:cstheme="minorHAnsi"/>
              </w:rPr>
              <w:t>why some people believe in God, or other deity, and why others do not. The unit helps students to practice giving reasons for their views, fully explaining their answers, and developing the skill of respectfully disagreeing with another person’s point of view</w:t>
            </w:r>
          </w:p>
          <w:p w:rsidR="00A86FB7" w:rsidRDefault="00A86FB7" w:rsidP="00A86FB7">
            <w:pPr>
              <w:pStyle w:val="ListParagraph"/>
              <w:numPr>
                <w:ilvl w:val="0"/>
                <w:numId w:val="19"/>
              </w:numPr>
              <w:rPr>
                <w:rFonts w:cstheme="minorHAnsi"/>
              </w:rPr>
            </w:pPr>
            <w:r>
              <w:rPr>
                <w:rFonts w:cstheme="minorHAnsi"/>
              </w:rPr>
              <w:t>Big Questions</w:t>
            </w:r>
          </w:p>
          <w:p w:rsidR="00A86FB7" w:rsidRDefault="00A86FB7" w:rsidP="00A86FB7">
            <w:pPr>
              <w:pStyle w:val="ListParagraph"/>
              <w:numPr>
                <w:ilvl w:val="0"/>
                <w:numId w:val="19"/>
              </w:numPr>
              <w:rPr>
                <w:rFonts w:cstheme="minorHAnsi"/>
              </w:rPr>
            </w:pPr>
            <w:r>
              <w:rPr>
                <w:rFonts w:cstheme="minorHAnsi"/>
              </w:rPr>
              <w:t>Is the universe designed?</w:t>
            </w:r>
          </w:p>
          <w:p w:rsidR="00A86FB7" w:rsidRDefault="00A86FB7" w:rsidP="00A86FB7">
            <w:pPr>
              <w:pStyle w:val="ListParagraph"/>
              <w:numPr>
                <w:ilvl w:val="0"/>
                <w:numId w:val="19"/>
              </w:numPr>
              <w:rPr>
                <w:rFonts w:cstheme="minorHAnsi"/>
              </w:rPr>
            </w:pPr>
            <w:r>
              <w:rPr>
                <w:rFonts w:cstheme="minorHAnsi"/>
              </w:rPr>
              <w:t>Does the universe require a cause?</w:t>
            </w:r>
          </w:p>
          <w:p w:rsidR="00C20CEA" w:rsidRPr="00A86FB7" w:rsidRDefault="00A86FB7" w:rsidP="00A86FB7">
            <w:pPr>
              <w:pStyle w:val="ListParagraph"/>
              <w:numPr>
                <w:ilvl w:val="0"/>
                <w:numId w:val="19"/>
              </w:numPr>
              <w:rPr>
                <w:rFonts w:cstheme="minorHAnsi"/>
              </w:rPr>
            </w:pPr>
            <w:r>
              <w:rPr>
                <w:rFonts w:cstheme="minorHAnsi"/>
              </w:rPr>
              <w:t>Does the scientific approach answer all questions?</w:t>
            </w:r>
          </w:p>
        </w:tc>
        <w:tc>
          <w:tcPr>
            <w:tcW w:w="2281" w:type="dxa"/>
          </w:tcPr>
          <w:p w:rsidR="00CA3B93" w:rsidRDefault="00891725">
            <w:r>
              <w:t>Learn key words</w:t>
            </w:r>
          </w:p>
          <w:p w:rsidR="00891725" w:rsidRDefault="00891725">
            <w:r>
              <w:t>Research:</w:t>
            </w:r>
          </w:p>
          <w:p w:rsidR="00891725" w:rsidRDefault="00891725"/>
          <w:p w:rsidR="00891725" w:rsidRPr="00891725" w:rsidRDefault="00891725">
            <w:r>
              <w:t xml:space="preserve">One thing in the world that could make some people think that there </w:t>
            </w:r>
            <w:r>
              <w:rPr>
                <w:i/>
              </w:rPr>
              <w:t xml:space="preserve">is </w:t>
            </w:r>
            <w:r>
              <w:t xml:space="preserve">a God, and one thing that one make some people think that there </w:t>
            </w:r>
            <w:r>
              <w:rPr>
                <w:i/>
              </w:rPr>
              <w:t xml:space="preserve">isn’t </w:t>
            </w:r>
            <w:r>
              <w:t>a God</w:t>
            </w:r>
            <w:bookmarkStart w:id="0" w:name="_GoBack"/>
            <w:bookmarkEnd w:id="0"/>
          </w:p>
        </w:tc>
        <w:tc>
          <w:tcPr>
            <w:tcW w:w="3061" w:type="dxa"/>
          </w:tcPr>
          <w:p w:rsidR="00CA3B93" w:rsidRDefault="00891725" w:rsidP="00891725">
            <w:pPr>
              <w:pStyle w:val="ListParagraph"/>
              <w:numPr>
                <w:ilvl w:val="0"/>
                <w:numId w:val="21"/>
              </w:numPr>
            </w:pPr>
            <w:r>
              <w:t>Question on reasons for and against the existence of God</w:t>
            </w:r>
          </w:p>
          <w:p w:rsidR="00891725" w:rsidRDefault="00891725" w:rsidP="00891725">
            <w:pPr>
              <w:pStyle w:val="ListParagraph"/>
              <w:numPr>
                <w:ilvl w:val="0"/>
                <w:numId w:val="21"/>
              </w:numPr>
            </w:pPr>
            <w:r>
              <w:t>Knowledge test</w:t>
            </w:r>
          </w:p>
        </w:tc>
      </w:tr>
      <w:tr w:rsidR="00CA3B93" w:rsidTr="00CA3B93">
        <w:tc>
          <w:tcPr>
            <w:tcW w:w="1809" w:type="dxa"/>
          </w:tcPr>
          <w:p w:rsidR="00CA3B93" w:rsidRDefault="00CA3B93" w:rsidP="00C20CEA">
            <w:r>
              <w:lastRenderedPageBreak/>
              <w:t>Summer 2</w:t>
            </w:r>
          </w:p>
          <w:p w:rsidR="00891725" w:rsidRDefault="00891725" w:rsidP="00C20CEA">
            <w:r>
              <w:rPr>
                <w:b/>
              </w:rPr>
              <w:t>Believing in God (or not)</w:t>
            </w:r>
          </w:p>
          <w:p w:rsidR="00891725" w:rsidRPr="009B0211" w:rsidRDefault="00891725" w:rsidP="00891725">
            <w:pPr>
              <w:rPr>
                <w:b/>
              </w:rPr>
            </w:pPr>
            <w:r>
              <w:rPr>
                <w:b/>
              </w:rPr>
              <w:t>(cont’d)</w:t>
            </w:r>
          </w:p>
          <w:p w:rsidR="00891725" w:rsidRDefault="00891725" w:rsidP="00C20CEA"/>
        </w:tc>
        <w:tc>
          <w:tcPr>
            <w:tcW w:w="3531" w:type="dxa"/>
          </w:tcPr>
          <w:p w:rsidR="00A86FB7" w:rsidRDefault="00A86FB7" w:rsidP="00A86FB7">
            <w:pPr>
              <w:pStyle w:val="ListParagraph"/>
              <w:numPr>
                <w:ilvl w:val="0"/>
                <w:numId w:val="19"/>
              </w:numPr>
              <w:rPr>
                <w:rFonts w:cstheme="minorHAnsi"/>
              </w:rPr>
            </w:pPr>
            <w:r>
              <w:rPr>
                <w:rFonts w:cstheme="minorHAnsi"/>
              </w:rPr>
              <w:t>Do people really have visions, see miracles happen and have prayers answered?</w:t>
            </w:r>
          </w:p>
          <w:p w:rsidR="00A86FB7" w:rsidRDefault="00A86FB7" w:rsidP="00A86FB7">
            <w:pPr>
              <w:pStyle w:val="ListParagraph"/>
              <w:numPr>
                <w:ilvl w:val="0"/>
                <w:numId w:val="19"/>
              </w:numPr>
              <w:rPr>
                <w:rFonts w:cstheme="minorHAnsi"/>
              </w:rPr>
            </w:pPr>
            <w:r>
              <w:rPr>
                <w:rFonts w:cstheme="minorHAnsi"/>
              </w:rPr>
              <w:t>Can God exist when there is so much suffering in the world?</w:t>
            </w:r>
          </w:p>
          <w:p w:rsidR="00A86FB7" w:rsidRDefault="00A86FB7" w:rsidP="00A86FB7">
            <w:pPr>
              <w:pStyle w:val="ListParagraph"/>
              <w:numPr>
                <w:ilvl w:val="0"/>
                <w:numId w:val="19"/>
              </w:numPr>
              <w:rPr>
                <w:rFonts w:cstheme="minorHAnsi"/>
              </w:rPr>
            </w:pPr>
            <w:r>
              <w:rPr>
                <w:rFonts w:cstheme="minorHAnsi"/>
              </w:rPr>
              <w:t>To people only believe because their family do?</w:t>
            </w:r>
          </w:p>
          <w:p w:rsidR="00A86FB7" w:rsidRPr="00A86FB7" w:rsidRDefault="00A86FB7" w:rsidP="00A86FB7">
            <w:pPr>
              <w:pStyle w:val="ListParagraph"/>
              <w:numPr>
                <w:ilvl w:val="0"/>
                <w:numId w:val="19"/>
              </w:numPr>
              <w:rPr>
                <w:rFonts w:cstheme="minorHAnsi"/>
              </w:rPr>
            </w:pPr>
            <w:r>
              <w:rPr>
                <w:rFonts w:cstheme="minorHAnsi"/>
              </w:rPr>
              <w:t xml:space="preserve">How </w:t>
            </w:r>
            <w:proofErr w:type="gramStart"/>
            <w:r>
              <w:rPr>
                <w:rFonts w:cstheme="minorHAnsi"/>
              </w:rPr>
              <w:t>does the media</w:t>
            </w:r>
            <w:proofErr w:type="gramEnd"/>
            <w:r>
              <w:rPr>
                <w:rFonts w:cstheme="minorHAnsi"/>
              </w:rPr>
              <w:t xml:space="preserve"> portray religious belief?</w:t>
            </w:r>
          </w:p>
          <w:p w:rsidR="00CA3B93" w:rsidRDefault="00CA3B93"/>
        </w:tc>
        <w:tc>
          <w:tcPr>
            <w:tcW w:w="2281" w:type="dxa"/>
          </w:tcPr>
          <w:p w:rsidR="00891725" w:rsidRDefault="00891725">
            <w:r>
              <w:t>Revise</w:t>
            </w:r>
          </w:p>
        </w:tc>
        <w:tc>
          <w:tcPr>
            <w:tcW w:w="3061" w:type="dxa"/>
          </w:tcPr>
          <w:p w:rsidR="00CA3B93" w:rsidRDefault="00891725" w:rsidP="00891725">
            <w:pPr>
              <w:pStyle w:val="ListParagraph"/>
              <w:numPr>
                <w:ilvl w:val="0"/>
                <w:numId w:val="20"/>
              </w:numPr>
            </w:pPr>
            <w:r>
              <w:t>End of Year exam covering all elements to this point</w:t>
            </w:r>
          </w:p>
        </w:tc>
      </w:tr>
    </w:tbl>
    <w:p w:rsidR="00CA3B93" w:rsidRDefault="00CA3B93"/>
    <w:sectPr w:rsidR="00CA3B93" w:rsidSect="00CA3B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2D9"/>
    <w:multiLevelType w:val="hybridMultilevel"/>
    <w:tmpl w:val="33D2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2F5C5D"/>
    <w:multiLevelType w:val="hybridMultilevel"/>
    <w:tmpl w:val="56EC2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8D7190"/>
    <w:multiLevelType w:val="hybridMultilevel"/>
    <w:tmpl w:val="CCDA7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C763D6"/>
    <w:multiLevelType w:val="hybridMultilevel"/>
    <w:tmpl w:val="AF749C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506A22"/>
    <w:multiLevelType w:val="hybridMultilevel"/>
    <w:tmpl w:val="16CAC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C02DEE"/>
    <w:multiLevelType w:val="hybridMultilevel"/>
    <w:tmpl w:val="7A36E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6A7014"/>
    <w:multiLevelType w:val="hybridMultilevel"/>
    <w:tmpl w:val="FFA88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D97A79"/>
    <w:multiLevelType w:val="hybridMultilevel"/>
    <w:tmpl w:val="7390C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9985BC8"/>
    <w:multiLevelType w:val="hybridMultilevel"/>
    <w:tmpl w:val="BCE06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E8F50F9"/>
    <w:multiLevelType w:val="hybridMultilevel"/>
    <w:tmpl w:val="87FA22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664066"/>
    <w:multiLevelType w:val="hybridMultilevel"/>
    <w:tmpl w:val="16FE8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F347420"/>
    <w:multiLevelType w:val="hybridMultilevel"/>
    <w:tmpl w:val="99525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2640056"/>
    <w:multiLevelType w:val="hybridMultilevel"/>
    <w:tmpl w:val="11264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6536766"/>
    <w:multiLevelType w:val="hybridMultilevel"/>
    <w:tmpl w:val="E342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F12282"/>
    <w:multiLevelType w:val="hybridMultilevel"/>
    <w:tmpl w:val="D0586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28B3ADA"/>
    <w:multiLevelType w:val="hybridMultilevel"/>
    <w:tmpl w:val="190C5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9D02A64"/>
    <w:multiLevelType w:val="hybridMultilevel"/>
    <w:tmpl w:val="10FA9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08A4014"/>
    <w:multiLevelType w:val="hybridMultilevel"/>
    <w:tmpl w:val="EC5C2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0D67F7C"/>
    <w:multiLevelType w:val="hybridMultilevel"/>
    <w:tmpl w:val="3AF89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8E7CD7"/>
    <w:multiLevelType w:val="hybridMultilevel"/>
    <w:tmpl w:val="D494E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8342FD9"/>
    <w:multiLevelType w:val="hybridMultilevel"/>
    <w:tmpl w:val="A4C46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3"/>
  </w:num>
  <w:num w:numId="5">
    <w:abstractNumId w:val="14"/>
  </w:num>
  <w:num w:numId="6">
    <w:abstractNumId w:val="11"/>
  </w:num>
  <w:num w:numId="7">
    <w:abstractNumId w:val="5"/>
  </w:num>
  <w:num w:numId="8">
    <w:abstractNumId w:val="8"/>
  </w:num>
  <w:num w:numId="9">
    <w:abstractNumId w:val="17"/>
  </w:num>
  <w:num w:numId="10">
    <w:abstractNumId w:val="7"/>
  </w:num>
  <w:num w:numId="11">
    <w:abstractNumId w:val="16"/>
  </w:num>
  <w:num w:numId="12">
    <w:abstractNumId w:val="19"/>
  </w:num>
  <w:num w:numId="13">
    <w:abstractNumId w:val="13"/>
  </w:num>
  <w:num w:numId="14">
    <w:abstractNumId w:val="6"/>
  </w:num>
  <w:num w:numId="15">
    <w:abstractNumId w:val="0"/>
  </w:num>
  <w:num w:numId="16">
    <w:abstractNumId w:val="9"/>
  </w:num>
  <w:num w:numId="17">
    <w:abstractNumId w:val="4"/>
  </w:num>
  <w:num w:numId="18">
    <w:abstractNumId w:val="2"/>
  </w:num>
  <w:num w:numId="19">
    <w:abstractNumId w:val="1"/>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B93"/>
    <w:rsid w:val="0035696A"/>
    <w:rsid w:val="005F43EC"/>
    <w:rsid w:val="0082126B"/>
    <w:rsid w:val="008812F3"/>
    <w:rsid w:val="00891725"/>
    <w:rsid w:val="009612F3"/>
    <w:rsid w:val="009B0211"/>
    <w:rsid w:val="00A86FB7"/>
    <w:rsid w:val="00A915C7"/>
    <w:rsid w:val="00B24526"/>
    <w:rsid w:val="00BC04F5"/>
    <w:rsid w:val="00BF56D9"/>
    <w:rsid w:val="00C20CEA"/>
    <w:rsid w:val="00CA3B93"/>
    <w:rsid w:val="00CD4755"/>
    <w:rsid w:val="00EA4198"/>
    <w:rsid w:val="00F3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4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3B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24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4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HLGC</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HLGC</cp:lastModifiedBy>
  <cp:revision>2</cp:revision>
  <dcterms:created xsi:type="dcterms:W3CDTF">2016-11-28T16:53:00Z</dcterms:created>
  <dcterms:modified xsi:type="dcterms:W3CDTF">2016-11-28T16:53:00Z</dcterms:modified>
</cp:coreProperties>
</file>